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28"/>
        </w:rPr>
        <w:t>Energy Transition by Carrier Results</w:t>
      </w:r>
    </w:p>
    <w:p>
      <w:pPr>
        <w:spacing w:line="360" w:lineRule="auto"/>
        <w:jc w:val="both"/>
      </w:pPr>
      <w:r>
        <w:rPr>
          <w:rFonts w:ascii="Times New Roman" w:hAnsi="Times New Roman"/>
          <w:sz w:val="24"/>
        </w:rPr>
        <w:t>Our soft-linking framework integrating the CGE model with the AdOpT_NET0 energy system model reveals profound structural transformation in Italy's energy carrier mix by 2040. We observe total energy consumption declining from 0.51 TWh (2021) to 0.39 TWh under ETS2 (-24.1%), driven by both efficiency improvements and behavioral responses to carbon pricing (Devarajan &amp; Robinson, 2013). The CGE-energy model linkage captures critical feedback effects: electricity demand increases 4.5% under ETS2 despite overall consumption decline, reflecting accelerated electrification across transport and building sectors (Böhringer &amp; Rutherford, 2008). Our results show electricity's share rising from 29.2% (2021) to 40.3% (2040 ETS2), while gas consumption falls 36.6% and other fossil fuels decline 33.5% (Fragkiadakis et al., 2021).</w:t>
        <w:br/>
        <w:br/>
        <w:t>The soft-linked modeling approach proves essential for capturing energy system dynamics: the CGE model provides sectoral activity levels and price responses to AdOpT_NET0, which determines optimal technology deployment and fuel switching patterns that feed back into the CGE framework (Böhringer &amp; Rutherford, 2013). We find ETS2's comprehensive coverage delivers markedly different outcomes than ETS1, with gas consumption under ETS2 reaching 0.18 TWh versus 0.23 TWh under ETS1 (-20.4%). This differential response demonstrates the critical importance of policy design scope captured through our integrated modeling framework (Capros et al., 2013). The energy carrier transition validates theoretical predictions while revealing practical implementation challenges for Italy's infrastructure transformation (IEA, 2021).</w:t>
      </w:r>
    </w:p>
    <w:p>
      <w:pPr>
        <w:pStyle w:val="Heading2"/>
      </w:pPr>
      <w:r>
        <w:rPr>
          <w:rFonts w:ascii="Times New Roman" w:hAnsi="Times New Roman"/>
          <w:b/>
          <w:sz w:val="24"/>
        </w:rPr>
        <w:t>References</w:t>
      </w:r>
    </w:p>
    <w:p>
      <w:pPr>
        <w:spacing w:line="360" w:lineRule="auto"/>
        <w:ind w:left="720" w:hanging="720"/>
      </w:pPr>
      <w:r>
        <w:rPr>
          <w:rFonts w:ascii="Times New Roman" w:hAnsi="Times New Roman"/>
          <w:sz w:val="24"/>
        </w:rPr>
        <w:t>Böhringer, C., &amp; Rutherford, T. F. (2008). Combining bottom-up and top-down. Energy Economics, 30(2), 574-596.</w:t>
      </w:r>
    </w:p>
    <w:p>
      <w:pPr>
        <w:spacing w:line="360" w:lineRule="auto"/>
        <w:ind w:left="720" w:hanging="720"/>
      </w:pPr>
      <w:r>
        <w:rPr>
          <w:rFonts w:ascii="Times New Roman" w:hAnsi="Times New Roman"/>
          <w:sz w:val="24"/>
        </w:rPr>
        <w:t>Böhringer, C., &amp; Rutherford, T. F. (2013). Transition towards a low carbon economy: A computable general equilibrium analysis for Poland. Energy Policy, 55, 16-26.</w:t>
      </w:r>
    </w:p>
    <w:p>
      <w:pPr>
        <w:spacing w:line="360" w:lineRule="auto"/>
        <w:ind w:left="720" w:hanging="720"/>
      </w:pPr>
      <w:r>
        <w:rPr>
          <w:rFonts w:ascii="Times New Roman" w:hAnsi="Times New Roman"/>
          <w:sz w:val="24"/>
        </w:rPr>
        <w:t>Capros, P., Van Regemorter, D., Paroussos, L., &amp; Karkatsoulis, P. (2013). GEM-E3 model documentation. Publications Office of the European Union, Luxembourg.</w:t>
      </w:r>
    </w:p>
    <w:p>
      <w:pPr>
        <w:spacing w:line="360" w:lineRule="auto"/>
        <w:ind w:left="720" w:hanging="720"/>
      </w:pPr>
      <w:r>
        <w:rPr>
          <w:rFonts w:ascii="Times New Roman" w:hAnsi="Times New Roman"/>
          <w:sz w:val="24"/>
        </w:rPr>
        <w:t>Devarajan, S., &amp; Robinson, S. (2013). The influence of computable general equilibrium models on policy. In Handbook of Computable General Equilibrium Modeling (Vol. 1, pp. 1277-1301). Elsevier.</w:t>
      </w:r>
    </w:p>
    <w:p>
      <w:pPr>
        <w:spacing w:line="360" w:lineRule="auto"/>
        <w:ind w:left="720" w:hanging="720"/>
      </w:pPr>
      <w:r>
        <w:rPr>
          <w:rFonts w:ascii="Times New Roman" w:hAnsi="Times New Roman"/>
          <w:sz w:val="24"/>
        </w:rPr>
        <w:t>Fragkiadakis, K., Fragkos, P., &amp; Paroussos, L. (2021). Low-carbon R&amp;D can boost EU growth and competitiveness. Energies, 14(17), 5236.</w:t>
      </w:r>
    </w:p>
    <w:p>
      <w:pPr>
        <w:spacing w:line="360" w:lineRule="auto"/>
        <w:ind w:left="720" w:hanging="720"/>
      </w:pPr>
      <w:r>
        <w:rPr>
          <w:rFonts w:ascii="Times New Roman" w:hAnsi="Times New Roman"/>
          <w:sz w:val="24"/>
        </w:rPr>
        <w:t>IEA. (2021). Net Zero by 2050: A Roadmap for the Global Energy Sector. International Energy Agency, Paris. https://www.iea.org/reports/net-zero-by-2050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