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Comparative Tables: CGE Model Scenario Setup</w:t>
      </w:r>
    </w:p>
    <w:p>
      <w:pPr>
        <w:pStyle w:val="Heading2"/>
        <w:jc w:val="center"/>
      </w:pPr>
      <w:r>
        <w:t>Italian CGE Model - BAU, ETS1, and ETS2 Scenarios</w:t>
      </w:r>
    </w:p>
    <w:p/>
    <w:p>
      <w:pPr>
        <w:pStyle w:val="Heading2"/>
      </w:pPr>
      <w:r>
        <w:t>Table 1: Overview of Scenario Definitions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  <w:shd w:fill="D9E2F3"/>
          </w:tcPr>
          <w:p>
            <w:pPr>
              <w:jc w:val="center"/>
            </w:pPr>
            <w:r>
              <w:rPr>
                <w:b/>
              </w:rPr>
              <w:t>Scenario</w:t>
            </w:r>
          </w:p>
        </w:tc>
        <w:tc>
          <w:tcPr>
            <w:tcW w:type="dxa" w:w="1872"/>
            <w:shd w:fill="D9E2F3"/>
          </w:tcPr>
          <w:p>
            <w:pPr>
              <w:jc w:val="center"/>
            </w:pPr>
            <w:r>
              <w:rPr>
                <w:b/>
              </w:rPr>
              <w:t>Full Name</w:t>
            </w:r>
          </w:p>
        </w:tc>
        <w:tc>
          <w:tcPr>
            <w:tcW w:type="dxa" w:w="1872"/>
            <w:shd w:fill="D9E2F3"/>
          </w:tcPr>
          <w:p>
            <w:pPr>
              <w:jc w:val="center"/>
            </w:pPr>
            <w:r>
              <w:rPr>
                <w:b/>
              </w:rPr>
              <w:t>Time Period</w:t>
            </w:r>
          </w:p>
        </w:tc>
        <w:tc>
          <w:tcPr>
            <w:tcW w:type="dxa" w:w="1872"/>
            <w:shd w:fill="D9E2F3"/>
          </w:tcPr>
          <w:p>
            <w:pPr>
              <w:jc w:val="center"/>
            </w:pPr>
            <w:r>
              <w:rPr>
                <w:b/>
              </w:rPr>
              <w:t>Policy Description</w:t>
            </w:r>
          </w:p>
        </w:tc>
        <w:tc>
          <w:tcPr>
            <w:tcW w:type="dxa" w:w="1872"/>
            <w:shd w:fill="D9E2F3"/>
          </w:tcPr>
          <w:p>
            <w:pPr>
              <w:jc w:val="center"/>
            </w:pPr>
            <w:r>
              <w:rPr>
                <w:b/>
              </w:rPr>
              <w:t>Primary Objective</w:t>
            </w:r>
          </w:p>
        </w:tc>
      </w:tr>
      <w:tr>
        <w:tc>
          <w:tcPr>
            <w:tcW w:type="dxa" w:w="1872"/>
          </w:tcPr>
          <w:p>
            <w:r>
              <w:t>BAU</w:t>
            </w:r>
          </w:p>
        </w:tc>
        <w:tc>
          <w:tcPr>
            <w:tcW w:type="dxa" w:w="1872"/>
          </w:tcPr>
          <w:p>
            <w:r>
              <w:t>Business as Usual</w:t>
            </w:r>
          </w:p>
        </w:tc>
        <w:tc>
          <w:tcPr>
            <w:tcW w:type="dxa" w:w="1872"/>
          </w:tcPr>
          <w:p>
            <w:r>
              <w:t>2021-2050</w:t>
            </w:r>
          </w:p>
        </w:tc>
        <w:tc>
          <w:tcPr>
            <w:tcW w:type="dxa" w:w="1872"/>
          </w:tcPr>
          <w:p>
            <w:r>
              <w:t>No additional climate policies beyond existing regulations</w:t>
            </w:r>
          </w:p>
        </w:tc>
        <w:tc>
          <w:tcPr>
            <w:tcW w:type="dxa" w:w="1872"/>
          </w:tcPr>
          <w:p>
            <w:r>
              <w:t>Baseline reference trajectory without carbon pricing</w:t>
            </w:r>
          </w:p>
        </w:tc>
      </w:tr>
      <w:tr>
        <w:tc>
          <w:tcPr>
            <w:tcW w:type="dxa" w:w="1872"/>
          </w:tcPr>
          <w:p>
            <w:r>
              <w:t>ETS1</w:t>
            </w:r>
          </w:p>
        </w:tc>
        <w:tc>
          <w:tcPr>
            <w:tcW w:type="dxa" w:w="1872"/>
          </w:tcPr>
          <w:p>
            <w:r>
              <w:t>EU ETS Phase 4</w:t>
            </w:r>
          </w:p>
        </w:tc>
        <w:tc>
          <w:tcPr>
            <w:tcW w:type="dxa" w:w="1872"/>
          </w:tcPr>
          <w:p>
            <w:r>
              <w:t>2021-2050</w:t>
            </w:r>
          </w:p>
        </w:tc>
        <w:tc>
          <w:tcPr>
            <w:tcW w:type="dxa" w:w="1872"/>
          </w:tcPr>
          <w:p>
            <w:r>
              <w:t>EU Emissions Trading System Phase 4 for industrial sectors</w:t>
            </w:r>
          </w:p>
        </w:tc>
        <w:tc>
          <w:tcPr>
            <w:tcW w:type="dxa" w:w="1872"/>
          </w:tcPr>
          <w:p>
            <w:r>
              <w:t>Decarbonize industry through carbon pricing with Market Stability Reserve (MSR)</w:t>
            </w:r>
          </w:p>
        </w:tc>
      </w:tr>
      <w:tr>
        <w:tc>
          <w:tcPr>
            <w:tcW w:type="dxa" w:w="1872"/>
          </w:tcPr>
          <w:p>
            <w:r>
              <w:t>ETS2</w:t>
            </w:r>
          </w:p>
        </w:tc>
        <w:tc>
          <w:tcPr>
            <w:tcW w:type="dxa" w:w="1872"/>
          </w:tcPr>
          <w:p>
            <w:r>
              <w:t>EU ETS Phase 4 + Buildings/Transport</w:t>
            </w:r>
          </w:p>
        </w:tc>
        <w:tc>
          <w:tcPr>
            <w:tcW w:type="dxa" w:w="1872"/>
          </w:tcPr>
          <w:p>
            <w:r>
              <w:t>2027-2050 (ETS2 component)</w:t>
            </w:r>
          </w:p>
        </w:tc>
        <w:tc>
          <w:tcPr>
            <w:tcW w:type="dxa" w:w="1872"/>
          </w:tcPr>
          <w:p>
            <w:r>
              <w:t>Extended ETS coverage including buildings and transport sectors</w:t>
            </w:r>
          </w:p>
        </w:tc>
        <w:tc>
          <w:tcPr>
            <w:tcW w:type="dxa" w:w="1872"/>
          </w:tcPr>
          <w:p>
            <w:r>
              <w:t>Comprehensive decarbonization across industry, buildings, and transport</w:t>
            </w:r>
          </w:p>
        </w:tc>
      </w:tr>
    </w:tbl>
    <w:p/>
    <w:p>
      <w:pPr>
        <w:pStyle w:val="Heading2"/>
      </w:pPr>
      <w:r>
        <w:t>Table 2: Carbon Pricing Parameters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  <w:shd w:fill="D9E2F3"/>
          </w:tcPr>
          <w:p>
            <w:pPr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type="dxa" w:w="2340"/>
            <w:shd w:fill="D9E2F3"/>
          </w:tcPr>
          <w:p>
            <w:pPr>
              <w:jc w:val="center"/>
            </w:pPr>
            <w:r>
              <w:rPr>
                <w:b/>
              </w:rPr>
              <w:t>BAU</w:t>
            </w:r>
          </w:p>
        </w:tc>
        <w:tc>
          <w:tcPr>
            <w:tcW w:type="dxa" w:w="2340"/>
            <w:shd w:fill="D9E2F3"/>
          </w:tcPr>
          <w:p>
            <w:pPr>
              <w:jc w:val="center"/>
            </w:pPr>
            <w:r>
              <w:rPr>
                <w:b/>
              </w:rPr>
              <w:t>ETS1</w:t>
            </w:r>
          </w:p>
        </w:tc>
        <w:tc>
          <w:tcPr>
            <w:tcW w:type="dxa" w:w="2340"/>
            <w:shd w:fill="D9E2F3"/>
          </w:tcPr>
          <w:p>
            <w:pPr>
              <w:jc w:val="center"/>
            </w:pPr>
            <w:r>
              <w:rPr>
                <w:b/>
              </w:rPr>
              <w:t>ETS2</w:t>
            </w:r>
          </w:p>
        </w:tc>
      </w:tr>
      <w:tr>
        <w:tc>
          <w:tcPr>
            <w:tcW w:type="dxa" w:w="2340"/>
          </w:tcPr>
          <w:p>
            <w:r>
              <w:t>Carbon Price (2021)</w:t>
            </w:r>
          </w:p>
        </w:tc>
        <w:tc>
          <w:tcPr>
            <w:tcW w:type="dxa" w:w="2340"/>
          </w:tcPr>
          <w:p>
            <w:r>
              <w:t>€0/tCO₂e</w:t>
            </w:r>
          </w:p>
        </w:tc>
        <w:tc>
          <w:tcPr>
            <w:tcW w:type="dxa" w:w="2340"/>
          </w:tcPr>
          <w:p>
            <w:r>
              <w:t>€53.90/tCO₂e</w:t>
            </w:r>
          </w:p>
        </w:tc>
        <w:tc>
          <w:tcPr>
            <w:tcW w:type="dxa" w:w="2340"/>
          </w:tcPr>
          <w:p>
            <w:r>
              <w:t>€53.90/tCO₂e (ETS1)</w:t>
            </w:r>
          </w:p>
        </w:tc>
      </w:tr>
      <w:tr>
        <w:tc>
          <w:tcPr>
            <w:tcW w:type="dxa" w:w="2340"/>
          </w:tcPr>
          <w:p>
            <w:r>
              <w:t>Carbon Price (2027)</w:t>
            </w:r>
          </w:p>
        </w:tc>
        <w:tc>
          <w:tcPr>
            <w:tcW w:type="dxa" w:w="2340"/>
          </w:tcPr>
          <w:p>
            <w:r>
              <w:t>€0/tCO₂e</w:t>
            </w:r>
          </w:p>
        </w:tc>
        <w:tc>
          <w:tcPr>
            <w:tcW w:type="dxa" w:w="2340"/>
          </w:tcPr>
          <w:p>
            <w:r>
              <w:t>€69.72/tCO₂e</w:t>
            </w:r>
          </w:p>
        </w:tc>
        <w:tc>
          <w:tcPr>
            <w:tcW w:type="dxa" w:w="2340"/>
          </w:tcPr>
          <w:p>
            <w:r>
              <w:t>€69.72/tCO₂e (ETS1)</w:t>
              <w:br/>
              <w:t>€45.00/tCO₂e (ETS2)</w:t>
            </w:r>
          </w:p>
        </w:tc>
      </w:tr>
      <w:tr>
        <w:tc>
          <w:tcPr>
            <w:tcW w:type="dxa" w:w="2340"/>
          </w:tcPr>
          <w:p>
            <w:r>
              <w:t>Price Growth Rate</w:t>
            </w:r>
          </w:p>
        </w:tc>
        <w:tc>
          <w:tcPr>
            <w:tcW w:type="dxa" w:w="2340"/>
          </w:tcPr>
          <w:p>
            <w:r>
              <w:t>N/A</w:t>
            </w:r>
          </w:p>
        </w:tc>
        <w:tc>
          <w:tcPr>
            <w:tcW w:type="dxa" w:w="2340"/>
          </w:tcPr>
          <w:p>
            <w:r>
              <w:t>4.0% annually</w:t>
            </w:r>
          </w:p>
        </w:tc>
        <w:tc>
          <w:tcPr>
            <w:tcW w:type="dxa" w:w="2340"/>
          </w:tcPr>
          <w:p>
            <w:r>
              <w:t>4.0% (ETS1)</w:t>
              <w:br/>
              <w:t>2.5% (ETS2)</w:t>
            </w:r>
          </w:p>
        </w:tc>
      </w:tr>
      <w:tr>
        <w:tc>
          <w:tcPr>
            <w:tcW w:type="dxa" w:w="2340"/>
          </w:tcPr>
          <w:p>
            <w:r>
              <w:t>Growth Rate Decline</w:t>
            </w:r>
          </w:p>
        </w:tc>
        <w:tc>
          <w:tcPr>
            <w:tcW w:type="dxa" w:w="2340"/>
          </w:tcPr>
          <w:p>
            <w:r>
              <w:t>N/A</w:t>
            </w:r>
          </w:p>
        </w:tc>
        <w:tc>
          <w:tcPr>
            <w:tcW w:type="dxa" w:w="2340"/>
          </w:tcPr>
          <w:p>
            <w:r>
              <w:t>0.15% per year</w:t>
            </w:r>
          </w:p>
        </w:tc>
        <w:tc>
          <w:tcPr>
            <w:tcW w:type="dxa" w:w="2340"/>
          </w:tcPr>
          <w:p>
            <w:r>
              <w:t>0.15% (ETS1)</w:t>
              <w:br/>
              <w:t>0.10% (ETS2)</w:t>
            </w:r>
          </w:p>
        </w:tc>
      </w:tr>
      <w:tr>
        <w:tc>
          <w:tcPr>
            <w:tcW w:type="dxa" w:w="2340"/>
          </w:tcPr>
          <w:p>
            <w:r>
              <w:t>Maximum Price</w:t>
            </w:r>
          </w:p>
        </w:tc>
        <w:tc>
          <w:tcPr>
            <w:tcW w:type="dxa" w:w="2340"/>
          </w:tcPr>
          <w:p>
            <w:r>
              <w:t>N/A</w:t>
            </w:r>
          </w:p>
        </w:tc>
        <w:tc>
          <w:tcPr>
            <w:tcW w:type="dxa" w:w="2340"/>
          </w:tcPr>
          <w:p>
            <w:r>
              <w:t>€150/tCO₂e (practical limit)</w:t>
            </w:r>
          </w:p>
        </w:tc>
        <w:tc>
          <w:tcPr>
            <w:tcW w:type="dxa" w:w="2340"/>
          </w:tcPr>
          <w:p>
            <w:r>
              <w:t>€150/tCO₂e (ETS1)</w:t>
              <w:br/>
              <w:t>€100/tCO₂e (ETS2)</w:t>
            </w:r>
          </w:p>
        </w:tc>
      </w:tr>
      <w:tr>
        <w:tc>
          <w:tcPr>
            <w:tcW w:type="dxa" w:w="2340"/>
          </w:tcPr>
          <w:p>
            <w:r>
              <w:t>Price Mechanism</w:t>
            </w:r>
          </w:p>
        </w:tc>
        <w:tc>
          <w:tcPr>
            <w:tcW w:type="dxa" w:w="2340"/>
          </w:tcPr>
          <w:p>
            <w:r>
              <w:t>N/A</w:t>
            </w:r>
          </w:p>
        </w:tc>
        <w:tc>
          <w:tcPr>
            <w:tcW w:type="dxa" w:w="2340"/>
          </w:tcPr>
          <w:p>
            <w:r>
              <w:t>Market Stability Reserve (MSR)</w:t>
            </w:r>
          </w:p>
        </w:tc>
        <w:tc>
          <w:tcPr>
            <w:tcW w:type="dxa" w:w="2340"/>
          </w:tcPr>
          <w:p>
            <w:r>
              <w:t>MSR (ETS1)</w:t>
              <w:br/>
              <w:t>Price Stability Mechanism (PSM) (ETS2)</w:t>
            </w:r>
          </w:p>
        </w:tc>
      </w:tr>
      <w:tr>
        <w:tc>
          <w:tcPr>
            <w:tcW w:type="dxa" w:w="2340"/>
          </w:tcPr>
          <w:p>
            <w:r>
              <w:t>Price Floor</w:t>
            </w:r>
          </w:p>
        </w:tc>
        <w:tc>
          <w:tcPr>
            <w:tcW w:type="dxa" w:w="2340"/>
          </w:tcPr>
          <w:p>
            <w:r>
              <w:t>N/A</w:t>
            </w:r>
          </w:p>
        </w:tc>
        <w:tc>
          <w:tcPr>
            <w:tcW w:type="dxa" w:w="2340"/>
          </w:tcPr>
          <w:p>
            <w:r>
              <w:t>None (MSR managed)</w:t>
            </w:r>
          </w:p>
        </w:tc>
        <w:tc>
          <w:tcPr>
            <w:tcW w:type="dxa" w:w="2340"/>
          </w:tcPr>
          <w:p>
            <w:r>
              <w:t>None (ETS1)</w:t>
              <w:br/>
              <w:t>€22.00/tCO₂e (ETS2)</w:t>
            </w:r>
          </w:p>
        </w:tc>
      </w:tr>
      <w:tr>
        <w:tc>
          <w:tcPr>
            <w:tcW w:type="dxa" w:w="2340"/>
          </w:tcPr>
          <w:p>
            <w:r>
              <w:t>Price Cap</w:t>
            </w:r>
          </w:p>
        </w:tc>
        <w:tc>
          <w:tcPr>
            <w:tcW w:type="dxa" w:w="2340"/>
          </w:tcPr>
          <w:p>
            <w:r>
              <w:t>N/A</w:t>
            </w:r>
          </w:p>
        </w:tc>
        <w:tc>
          <w:tcPr>
            <w:tcW w:type="dxa" w:w="2340"/>
          </w:tcPr>
          <w:p>
            <w:r>
              <w:t>None (MSR prevents extremes)</w:t>
            </w:r>
          </w:p>
        </w:tc>
        <w:tc>
          <w:tcPr>
            <w:tcW w:type="dxa" w:w="2340"/>
          </w:tcPr>
          <w:p>
            <w:r>
              <w:t>None (ETS1)</w:t>
              <w:br/>
              <w:t>€45.00/tCO₂e (ETS2)</w:t>
            </w:r>
          </w:p>
        </w:tc>
      </w:tr>
    </w:tbl>
    <w:p/>
    <w:p>
      <w:r>
        <w:br w:type="page"/>
      </w:r>
    </w:p>
    <w:p>
      <w:pPr>
        <w:pStyle w:val="Heading2"/>
      </w:pPr>
      <w:r>
        <w:t>Table 3: Sectoral Coverage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  <w:shd w:fill="D9E2F3"/>
          </w:tcPr>
          <w:p>
            <w:pPr>
              <w:jc w:val="center"/>
            </w:pPr>
            <w:r>
              <w:rPr>
                <w:b/>
              </w:rPr>
              <w:t>Sector Code</w:t>
            </w:r>
          </w:p>
        </w:tc>
        <w:tc>
          <w:tcPr>
            <w:tcW w:type="dxa" w:w="1872"/>
            <w:shd w:fill="D9E2F3"/>
          </w:tcPr>
          <w:p>
            <w:pPr>
              <w:jc w:val="center"/>
            </w:pPr>
            <w:r>
              <w:rPr>
                <w:b/>
              </w:rPr>
              <w:t>Sector Name</w:t>
            </w:r>
          </w:p>
        </w:tc>
        <w:tc>
          <w:tcPr>
            <w:tcW w:type="dxa" w:w="1872"/>
            <w:shd w:fill="D9E2F3"/>
          </w:tcPr>
          <w:p>
            <w:pPr>
              <w:jc w:val="center"/>
            </w:pPr>
            <w:r>
              <w:rPr>
                <w:b/>
              </w:rPr>
              <w:t>BAU</w:t>
            </w:r>
          </w:p>
        </w:tc>
        <w:tc>
          <w:tcPr>
            <w:tcW w:type="dxa" w:w="1872"/>
            <w:shd w:fill="D9E2F3"/>
          </w:tcPr>
          <w:p>
            <w:pPr>
              <w:jc w:val="center"/>
            </w:pPr>
            <w:r>
              <w:rPr>
                <w:b/>
              </w:rPr>
              <w:t>ETS1</w:t>
            </w:r>
          </w:p>
        </w:tc>
        <w:tc>
          <w:tcPr>
            <w:tcW w:type="dxa" w:w="1872"/>
            <w:shd w:fill="D9E2F3"/>
          </w:tcPr>
          <w:p>
            <w:pPr>
              <w:jc w:val="center"/>
            </w:pPr>
            <w:r>
              <w:rPr>
                <w:b/>
              </w:rPr>
              <w:t>ETS2</w:t>
            </w:r>
          </w:p>
        </w:tc>
      </w:tr>
      <w:tr>
        <w:tc>
          <w:tcPr>
            <w:tcW w:type="dxa" w:w="1872"/>
          </w:tcPr>
          <w:p>
            <w:r>
              <w:t>IND</w:t>
            </w:r>
          </w:p>
        </w:tc>
        <w:tc>
          <w:tcPr>
            <w:tcW w:type="dxa" w:w="1872"/>
          </w:tcPr>
          <w:p>
            <w:r>
              <w:t>Industry (Manufacturing)</w:t>
            </w:r>
          </w:p>
        </w:tc>
        <w:tc>
          <w:tcPr>
            <w:tcW w:type="dxa" w:w="1872"/>
          </w:tcPr>
          <w:p>
            <w:r>
              <w:t>❌</w:t>
            </w:r>
          </w:p>
        </w:tc>
        <w:tc>
          <w:tcPr>
            <w:tcW w:type="dxa" w:w="1872"/>
          </w:tcPr>
          <w:p>
            <w:r>
              <w:t>✅</w:t>
            </w:r>
          </w:p>
        </w:tc>
        <w:tc>
          <w:tcPr>
            <w:tcW w:type="dxa" w:w="1872"/>
          </w:tcPr>
          <w:p>
            <w:r>
              <w:t>✅</w:t>
            </w:r>
          </w:p>
        </w:tc>
      </w:tr>
      <w:tr>
        <w:tc>
          <w:tcPr>
            <w:tcW w:type="dxa" w:w="1872"/>
          </w:tcPr>
          <w:p>
            <w:r>
              <w:t>GAS</w:t>
            </w:r>
          </w:p>
        </w:tc>
        <w:tc>
          <w:tcPr>
            <w:tcW w:type="dxa" w:w="1872"/>
          </w:tcPr>
          <w:p>
            <w:r>
              <w:t>Gas Supply</w:t>
            </w:r>
          </w:p>
        </w:tc>
        <w:tc>
          <w:tcPr>
            <w:tcW w:type="dxa" w:w="1872"/>
          </w:tcPr>
          <w:p>
            <w:r>
              <w:t>❌</w:t>
            </w:r>
          </w:p>
        </w:tc>
        <w:tc>
          <w:tcPr>
            <w:tcW w:type="dxa" w:w="1872"/>
          </w:tcPr>
          <w:p>
            <w:r>
              <w:t>✅</w:t>
            </w:r>
          </w:p>
        </w:tc>
        <w:tc>
          <w:tcPr>
            <w:tcW w:type="dxa" w:w="1872"/>
          </w:tcPr>
          <w:p>
            <w:r>
              <w:t>✅</w:t>
            </w:r>
          </w:p>
        </w:tc>
      </w:tr>
      <w:tr>
        <w:tc>
          <w:tcPr>
            <w:tcW w:type="dxa" w:w="1872"/>
          </w:tcPr>
          <w:p>
            <w:r>
              <w:t>OENERGY</w:t>
            </w:r>
          </w:p>
        </w:tc>
        <w:tc>
          <w:tcPr>
            <w:tcW w:type="dxa" w:w="1872"/>
          </w:tcPr>
          <w:p>
            <w:r>
              <w:t>Other Energy</w:t>
            </w:r>
          </w:p>
        </w:tc>
        <w:tc>
          <w:tcPr>
            <w:tcW w:type="dxa" w:w="1872"/>
          </w:tcPr>
          <w:p>
            <w:r>
              <w:t>❌</w:t>
            </w:r>
          </w:p>
        </w:tc>
        <w:tc>
          <w:tcPr>
            <w:tcW w:type="dxa" w:w="1872"/>
          </w:tcPr>
          <w:p>
            <w:r>
              <w:t>✅</w:t>
            </w:r>
          </w:p>
        </w:tc>
        <w:tc>
          <w:tcPr>
            <w:tcW w:type="dxa" w:w="1872"/>
          </w:tcPr>
          <w:p>
            <w:r>
              <w:t>✅</w:t>
            </w:r>
          </w:p>
        </w:tc>
      </w:tr>
      <w:tr>
        <w:tc>
          <w:tcPr>
            <w:tcW w:type="dxa" w:w="1872"/>
          </w:tcPr>
          <w:p>
            <w:r>
              <w:t>AIR</w:t>
            </w:r>
          </w:p>
        </w:tc>
        <w:tc>
          <w:tcPr>
            <w:tcW w:type="dxa" w:w="1872"/>
          </w:tcPr>
          <w:p>
            <w:r>
              <w:t>Air Transport</w:t>
            </w:r>
          </w:p>
        </w:tc>
        <w:tc>
          <w:tcPr>
            <w:tcW w:type="dxa" w:w="1872"/>
          </w:tcPr>
          <w:p>
            <w:r>
              <w:t>❌</w:t>
            </w:r>
          </w:p>
        </w:tc>
        <w:tc>
          <w:tcPr>
            <w:tcW w:type="dxa" w:w="1872"/>
          </w:tcPr>
          <w:p>
            <w:r>
              <w:t>✅</w:t>
            </w:r>
          </w:p>
        </w:tc>
        <w:tc>
          <w:tcPr>
            <w:tcW w:type="dxa" w:w="1872"/>
          </w:tcPr>
          <w:p>
            <w:r>
              <w:t>✅</w:t>
            </w:r>
          </w:p>
        </w:tc>
      </w:tr>
      <w:tr>
        <w:tc>
          <w:tcPr>
            <w:tcW w:type="dxa" w:w="1872"/>
          </w:tcPr>
          <w:p>
            <w:r>
              <w:t>WATER</w:t>
            </w:r>
          </w:p>
        </w:tc>
        <w:tc>
          <w:tcPr>
            <w:tcW w:type="dxa" w:w="1872"/>
          </w:tcPr>
          <w:p>
            <w:r>
              <w:t>Water Transport</w:t>
            </w:r>
          </w:p>
        </w:tc>
        <w:tc>
          <w:tcPr>
            <w:tcW w:type="dxa" w:w="1872"/>
          </w:tcPr>
          <w:p>
            <w:r>
              <w:t>❌</w:t>
            </w:r>
          </w:p>
        </w:tc>
        <w:tc>
          <w:tcPr>
            <w:tcW w:type="dxa" w:w="1872"/>
          </w:tcPr>
          <w:p>
            <w:r>
              <w:t>✅</w:t>
            </w:r>
          </w:p>
        </w:tc>
        <w:tc>
          <w:tcPr>
            <w:tcW w:type="dxa" w:w="1872"/>
          </w:tcPr>
          <w:p>
            <w:r>
              <w:t>✅</w:t>
            </w:r>
          </w:p>
        </w:tc>
      </w:tr>
      <w:tr>
        <w:tc>
          <w:tcPr>
            <w:tcW w:type="dxa" w:w="1872"/>
          </w:tcPr>
          <w:p>
            <w:r>
              <w:t>ROAD</w:t>
            </w:r>
          </w:p>
        </w:tc>
        <w:tc>
          <w:tcPr>
            <w:tcW w:type="dxa" w:w="1872"/>
          </w:tcPr>
          <w:p>
            <w:r>
              <w:t>Road Transport</w:t>
            </w:r>
          </w:p>
        </w:tc>
        <w:tc>
          <w:tcPr>
            <w:tcW w:type="dxa" w:w="1872"/>
          </w:tcPr>
          <w:p>
            <w:r>
              <w:t>❌</w:t>
            </w:r>
          </w:p>
        </w:tc>
        <w:tc>
          <w:tcPr>
            <w:tcW w:type="dxa" w:w="1872"/>
          </w:tcPr>
          <w:p>
            <w:r>
              <w:t>❌</w:t>
            </w:r>
          </w:p>
        </w:tc>
        <w:tc>
          <w:tcPr>
            <w:tcW w:type="dxa" w:w="1872"/>
          </w:tcPr>
          <w:p>
            <w:r>
              <w:t>✅</w:t>
            </w:r>
          </w:p>
        </w:tc>
      </w:tr>
      <w:tr>
        <w:tc>
          <w:tcPr>
            <w:tcW w:type="dxa" w:w="1872"/>
          </w:tcPr>
          <w:p>
            <w:r>
              <w:t>OTRANS</w:t>
            </w:r>
          </w:p>
        </w:tc>
        <w:tc>
          <w:tcPr>
            <w:tcW w:type="dxa" w:w="1872"/>
          </w:tcPr>
          <w:p>
            <w:r>
              <w:t>Other Transport</w:t>
            </w:r>
          </w:p>
        </w:tc>
        <w:tc>
          <w:tcPr>
            <w:tcW w:type="dxa" w:w="1872"/>
          </w:tcPr>
          <w:p>
            <w:r>
              <w:t>❌</w:t>
            </w:r>
          </w:p>
        </w:tc>
        <w:tc>
          <w:tcPr>
            <w:tcW w:type="dxa" w:w="1872"/>
          </w:tcPr>
          <w:p>
            <w:r>
              <w:t>❌</w:t>
            </w:r>
          </w:p>
        </w:tc>
        <w:tc>
          <w:tcPr>
            <w:tcW w:type="dxa" w:w="1872"/>
          </w:tcPr>
          <w:p>
            <w:r>
              <w:t>✅</w:t>
            </w:r>
          </w:p>
        </w:tc>
      </w:tr>
      <w:tr>
        <w:tc>
          <w:tcPr>
            <w:tcW w:type="dxa" w:w="1872"/>
          </w:tcPr>
          <w:p>
            <w:r>
              <w:t>SERVICES</w:t>
            </w:r>
          </w:p>
        </w:tc>
        <w:tc>
          <w:tcPr>
            <w:tcW w:type="dxa" w:w="1872"/>
          </w:tcPr>
          <w:p>
            <w:r>
              <w:t>Services (Buildings)</w:t>
            </w:r>
          </w:p>
        </w:tc>
        <w:tc>
          <w:tcPr>
            <w:tcW w:type="dxa" w:w="1872"/>
          </w:tcPr>
          <w:p>
            <w:r>
              <w:t>❌</w:t>
            </w:r>
          </w:p>
        </w:tc>
        <w:tc>
          <w:tcPr>
            <w:tcW w:type="dxa" w:w="1872"/>
          </w:tcPr>
          <w:p>
            <w:r>
              <w:t>❌</w:t>
            </w:r>
          </w:p>
        </w:tc>
        <w:tc>
          <w:tcPr>
            <w:tcW w:type="dxa" w:w="1872"/>
          </w:tcPr>
          <w:p>
            <w:r>
              <w:t>✅</w:t>
            </w:r>
          </w:p>
        </w:tc>
      </w:tr>
      <w:tr>
        <w:tc>
          <w:tcPr>
            <w:tcW w:type="dxa" w:w="1872"/>
          </w:tcPr>
          <w:p>
            <w:r>
              <w:t>Total Covered</w:t>
            </w:r>
          </w:p>
        </w:tc>
        <w:tc>
          <w:tcPr>
            <w:tcW w:type="dxa" w:w="1872"/>
          </w:tcPr>
          <w:p>
            <w:r>
              <w:t>-</w:t>
            </w:r>
          </w:p>
        </w:tc>
        <w:tc>
          <w:tcPr>
            <w:tcW w:type="dxa" w:w="1872"/>
          </w:tcPr>
          <w:p>
            <w:r>
              <w:t>0</w:t>
            </w:r>
          </w:p>
        </w:tc>
        <w:tc>
          <w:tcPr>
            <w:tcW w:type="dxa" w:w="1872"/>
          </w:tcPr>
          <w:p>
            <w:r>
              <w:t>5 sectors</w:t>
            </w:r>
          </w:p>
        </w:tc>
        <w:tc>
          <w:tcPr>
            <w:tcW w:type="dxa" w:w="1872"/>
          </w:tcPr>
          <w:p>
            <w:r>
              <w:t>8 sectors</w:t>
            </w:r>
          </w:p>
        </w:tc>
      </w:tr>
    </w:tbl>
    <w:p>
      <w:r>
        <w:rPr>
          <w:b/>
        </w:rPr>
        <w:t xml:space="preserve">Coverage Legend: </w:t>
      </w:r>
      <w:r>
        <w:t>✅ = Covered by ETS carbon pricing | ❌ = Not covered</w:t>
      </w:r>
    </w:p>
    <w:p/>
    <w:p>
      <w:pPr>
        <w:pStyle w:val="Heading2"/>
      </w:pPr>
      <w:r>
        <w:t>Table 4: Free Allowance Allocation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  <w:shd w:fill="D9E2F3"/>
          </w:tcPr>
          <w:p>
            <w:pPr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type="dxa" w:w="1872"/>
            <w:shd w:fill="D9E2F3"/>
          </w:tcPr>
          <w:p>
            <w:pPr>
              <w:jc w:val="center"/>
            </w:pPr>
            <w:r>
              <w:rPr>
                <w:b/>
              </w:rPr>
              <w:t>BAU</w:t>
            </w:r>
          </w:p>
        </w:tc>
        <w:tc>
          <w:tcPr>
            <w:tcW w:type="dxa" w:w="1872"/>
            <w:shd w:fill="D9E2F3"/>
          </w:tcPr>
          <w:p>
            <w:pPr>
              <w:jc w:val="center"/>
            </w:pPr>
            <w:r>
              <w:rPr>
                <w:b/>
              </w:rPr>
              <w:t>ETS1</w:t>
            </w:r>
          </w:p>
        </w:tc>
        <w:tc>
          <w:tcPr>
            <w:tcW w:type="dxa" w:w="1872"/>
            <w:shd w:fill="D9E2F3"/>
          </w:tcPr>
          <w:p>
            <w:pPr>
              <w:jc w:val="center"/>
            </w:pPr>
            <w:r>
              <w:rPr>
                <w:b/>
              </w:rPr>
              <w:t>ETS2 (ETS1 component)</w:t>
            </w:r>
          </w:p>
        </w:tc>
        <w:tc>
          <w:tcPr>
            <w:tcW w:type="dxa" w:w="1872"/>
            <w:shd w:fill="D9E2F3"/>
          </w:tcPr>
          <w:p>
            <w:pPr>
              <w:jc w:val="center"/>
            </w:pPr>
            <w:r>
              <w:rPr>
                <w:b/>
              </w:rPr>
              <w:t>ETS2 (ETS2 component)</w:t>
            </w:r>
          </w:p>
        </w:tc>
      </w:tr>
      <w:tr>
        <w:tc>
          <w:tcPr>
            <w:tcW w:type="dxa" w:w="1872"/>
          </w:tcPr>
          <w:p>
            <w:r>
              <w:t>Initial Free Allocation Rate</w:t>
            </w:r>
          </w:p>
        </w:tc>
        <w:tc>
          <w:tcPr>
            <w:tcW w:type="dxa" w:w="1872"/>
          </w:tcPr>
          <w:p>
            <w:r>
              <w:t>N/A</w:t>
            </w:r>
          </w:p>
        </w:tc>
        <w:tc>
          <w:tcPr>
            <w:tcW w:type="dxa" w:w="1872"/>
          </w:tcPr>
          <w:p>
            <w:r>
              <w:t>80%</w:t>
            </w:r>
          </w:p>
        </w:tc>
        <w:tc>
          <w:tcPr>
            <w:tcW w:type="dxa" w:w="1872"/>
          </w:tcPr>
          <w:p>
            <w:r>
              <w:t>80%</w:t>
            </w:r>
          </w:p>
        </w:tc>
        <w:tc>
          <w:tcPr>
            <w:tcW w:type="dxa" w:w="1872"/>
          </w:tcPr>
          <w:p>
            <w:r>
              <w:t>60%</w:t>
            </w:r>
          </w:p>
        </w:tc>
      </w:tr>
      <w:tr>
        <w:tc>
          <w:tcPr>
            <w:tcW w:type="dxa" w:w="1872"/>
          </w:tcPr>
          <w:p>
            <w:r>
              <w:t>Annual Decline Rate</w:t>
            </w:r>
          </w:p>
        </w:tc>
        <w:tc>
          <w:tcPr>
            <w:tcW w:type="dxa" w:w="1872"/>
          </w:tcPr>
          <w:p>
            <w:r>
              <w:t>N/A</w:t>
            </w:r>
          </w:p>
        </w:tc>
        <w:tc>
          <w:tcPr>
            <w:tcW w:type="dxa" w:w="1872"/>
          </w:tcPr>
          <w:p>
            <w:r>
              <w:t>2% per year</w:t>
            </w:r>
          </w:p>
        </w:tc>
        <w:tc>
          <w:tcPr>
            <w:tcW w:type="dxa" w:w="1872"/>
          </w:tcPr>
          <w:p>
            <w:r>
              <w:t>2% per year</w:t>
            </w:r>
          </w:p>
        </w:tc>
        <w:tc>
          <w:tcPr>
            <w:tcW w:type="dxa" w:w="1872"/>
          </w:tcPr>
          <w:p>
            <w:r>
              <w:t>3% per year</w:t>
            </w:r>
          </w:p>
        </w:tc>
      </w:tr>
      <w:tr>
        <w:tc>
          <w:tcPr>
            <w:tcW w:type="dxa" w:w="1872"/>
          </w:tcPr>
          <w:p>
            <w:r>
              <w:t>Minimum Allocation</w:t>
            </w:r>
          </w:p>
        </w:tc>
        <w:tc>
          <w:tcPr>
            <w:tcW w:type="dxa" w:w="1872"/>
          </w:tcPr>
          <w:p>
            <w:r>
              <w:t>N/A</w:t>
            </w:r>
          </w:p>
        </w:tc>
        <w:tc>
          <w:tcPr>
            <w:tcW w:type="dxa" w:w="1872"/>
          </w:tcPr>
          <w:p>
            <w:r>
              <w:t>10%</w:t>
            </w:r>
          </w:p>
        </w:tc>
        <w:tc>
          <w:tcPr>
            <w:tcW w:type="dxa" w:w="1872"/>
          </w:tcPr>
          <w:p>
            <w:r>
              <w:t>10%</w:t>
            </w:r>
          </w:p>
        </w:tc>
        <w:tc>
          <w:tcPr>
            <w:tcW w:type="dxa" w:w="1872"/>
          </w:tcPr>
          <w:p>
            <w:r>
              <w:t>5%</w:t>
            </w:r>
          </w:p>
        </w:tc>
      </w:tr>
      <w:tr>
        <w:tc>
          <w:tcPr>
            <w:tcW w:type="dxa" w:w="1872"/>
          </w:tcPr>
          <w:p>
            <w:r>
              <w:t>Free Allocation (2021)</w:t>
            </w:r>
          </w:p>
        </w:tc>
        <w:tc>
          <w:tcPr>
            <w:tcW w:type="dxa" w:w="1872"/>
          </w:tcPr>
          <w:p>
            <w:r>
              <w:t>N/A</w:t>
            </w:r>
          </w:p>
        </w:tc>
        <w:tc>
          <w:tcPr>
            <w:tcW w:type="dxa" w:w="1872"/>
          </w:tcPr>
          <w:p>
            <w:r>
              <w:t>80%</w:t>
            </w:r>
          </w:p>
        </w:tc>
        <w:tc>
          <w:tcPr>
            <w:tcW w:type="dxa" w:w="1872"/>
          </w:tcPr>
          <w:p>
            <w:r>
              <w:t>80%</w:t>
            </w:r>
          </w:p>
        </w:tc>
        <w:tc>
          <w:tcPr>
            <w:tcW w:type="dxa" w:w="1872"/>
          </w:tcPr>
          <w:p>
            <w:r>
              <w:t>N/A (starts 2027)</w:t>
            </w:r>
          </w:p>
        </w:tc>
      </w:tr>
      <w:tr>
        <w:tc>
          <w:tcPr>
            <w:tcW w:type="dxa" w:w="1872"/>
          </w:tcPr>
          <w:p>
            <w:r>
              <w:t>Free Allocation (2030)</w:t>
            </w:r>
          </w:p>
        </w:tc>
        <w:tc>
          <w:tcPr>
            <w:tcW w:type="dxa" w:w="1872"/>
          </w:tcPr>
          <w:p>
            <w:r>
              <w:t>N/A</w:t>
            </w:r>
          </w:p>
        </w:tc>
        <w:tc>
          <w:tcPr>
            <w:tcW w:type="dxa" w:w="1872"/>
          </w:tcPr>
          <w:p>
            <w:r>
              <w:t>62%</w:t>
            </w:r>
          </w:p>
        </w:tc>
        <w:tc>
          <w:tcPr>
            <w:tcW w:type="dxa" w:w="1872"/>
          </w:tcPr>
          <w:p>
            <w:r>
              <w:t>62%</w:t>
            </w:r>
          </w:p>
        </w:tc>
        <w:tc>
          <w:tcPr>
            <w:tcW w:type="dxa" w:w="1872"/>
          </w:tcPr>
          <w:p>
            <w:r>
              <w:t>51%</w:t>
            </w:r>
          </w:p>
        </w:tc>
      </w:tr>
      <w:tr>
        <w:tc>
          <w:tcPr>
            <w:tcW w:type="dxa" w:w="1872"/>
          </w:tcPr>
          <w:p>
            <w:r>
              <w:t>Free Allocation (2050)</w:t>
            </w:r>
          </w:p>
        </w:tc>
        <w:tc>
          <w:tcPr>
            <w:tcW w:type="dxa" w:w="1872"/>
          </w:tcPr>
          <w:p>
            <w:r>
              <w:t>N/A</w:t>
            </w:r>
          </w:p>
        </w:tc>
        <w:tc>
          <w:tcPr>
            <w:tcW w:type="dxa" w:w="1872"/>
          </w:tcPr>
          <w:p>
            <w:r>
              <w:t>22% (capped at 10%)</w:t>
            </w:r>
          </w:p>
        </w:tc>
        <w:tc>
          <w:tcPr>
            <w:tcW w:type="dxa" w:w="1872"/>
          </w:tcPr>
          <w:p>
            <w:r>
              <w:t>22% (capped at 10%)</w:t>
            </w:r>
          </w:p>
        </w:tc>
        <w:tc>
          <w:tcPr>
            <w:tcW w:type="dxa" w:w="1872"/>
          </w:tcPr>
          <w:p>
            <w:r>
              <w:t>9% (capped at 5%)</w:t>
            </w:r>
          </w:p>
        </w:tc>
      </w:tr>
    </w:tbl>
    <w:p/>
    <w:p>
      <w:r>
        <w:br w:type="page"/>
      </w:r>
    </w:p>
    <w:p>
      <w:pPr>
        <w:pStyle w:val="Heading2"/>
      </w:pPr>
      <w:r>
        <w:t>Table 5: Energy Efficiency and Technology Parameters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  <w:shd w:fill="D9E2F3"/>
          </w:tcPr>
          <w:p>
            <w:pPr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type="dxa" w:w="2340"/>
            <w:shd w:fill="D9E2F3"/>
          </w:tcPr>
          <w:p>
            <w:pPr>
              <w:jc w:val="center"/>
            </w:pPr>
            <w:r>
              <w:rPr>
                <w:b/>
              </w:rPr>
              <w:t>BAU</w:t>
            </w:r>
          </w:p>
        </w:tc>
        <w:tc>
          <w:tcPr>
            <w:tcW w:type="dxa" w:w="2340"/>
            <w:shd w:fill="D9E2F3"/>
          </w:tcPr>
          <w:p>
            <w:pPr>
              <w:jc w:val="center"/>
            </w:pPr>
            <w:r>
              <w:rPr>
                <w:b/>
              </w:rPr>
              <w:t>ETS1</w:t>
            </w:r>
          </w:p>
        </w:tc>
        <w:tc>
          <w:tcPr>
            <w:tcW w:type="dxa" w:w="2340"/>
            <w:shd w:fill="D9E2F3"/>
          </w:tcPr>
          <w:p>
            <w:pPr>
              <w:jc w:val="center"/>
            </w:pPr>
            <w:r>
              <w:rPr>
                <w:b/>
              </w:rPr>
              <w:t>ETS2</w:t>
            </w:r>
          </w:p>
        </w:tc>
      </w:tr>
      <w:tr>
        <w:tc>
          <w:tcPr>
            <w:tcW w:type="dxa" w:w="2340"/>
          </w:tcPr>
          <w:p>
            <w:r>
              <w:t>AEEI (Covered Sectors)</w:t>
            </w:r>
          </w:p>
        </w:tc>
        <w:tc>
          <w:tcPr>
            <w:tcW w:type="dxa" w:w="2340"/>
          </w:tcPr>
          <w:p>
            <w:r>
              <w:t>1.0% per year</w:t>
            </w:r>
          </w:p>
        </w:tc>
        <w:tc>
          <w:tcPr>
            <w:tcW w:type="dxa" w:w="2340"/>
          </w:tcPr>
          <w:p>
            <w:r>
              <w:t>1.5% per year</w:t>
            </w:r>
          </w:p>
        </w:tc>
        <w:tc>
          <w:tcPr>
            <w:tcW w:type="dxa" w:w="2340"/>
          </w:tcPr>
          <w:p>
            <w:r>
              <w:t>1.5% per year</w:t>
            </w:r>
          </w:p>
        </w:tc>
      </w:tr>
      <w:tr>
        <w:tc>
          <w:tcPr>
            <w:tcW w:type="dxa" w:w="2340"/>
          </w:tcPr>
          <w:p>
            <w:r>
              <w:t>AEEI (Non-Covered)</w:t>
            </w:r>
          </w:p>
        </w:tc>
        <w:tc>
          <w:tcPr>
            <w:tcW w:type="dxa" w:w="2340"/>
          </w:tcPr>
          <w:p>
            <w:r>
              <w:t>1.0% per year</w:t>
            </w:r>
          </w:p>
        </w:tc>
        <w:tc>
          <w:tcPr>
            <w:tcW w:type="dxa" w:w="2340"/>
          </w:tcPr>
          <w:p>
            <w:r>
              <w:t>1.0% per year</w:t>
            </w:r>
          </w:p>
        </w:tc>
        <w:tc>
          <w:tcPr>
            <w:tcW w:type="dxa" w:w="2340"/>
          </w:tcPr>
          <w:p>
            <w:r>
              <w:t>1.0% per year</w:t>
            </w:r>
          </w:p>
        </w:tc>
      </w:tr>
      <w:tr>
        <w:tc>
          <w:tcPr>
            <w:tcW w:type="dxa" w:w="2340"/>
          </w:tcPr>
          <w:p>
            <w:r>
              <w:t>Electrification Rate Growth</w:t>
            </w:r>
          </w:p>
        </w:tc>
        <w:tc>
          <w:tcPr>
            <w:tcW w:type="dxa" w:w="2340"/>
          </w:tcPr>
          <w:p>
            <w:r>
              <w:t>2.5% per year</w:t>
            </w:r>
          </w:p>
        </w:tc>
        <w:tc>
          <w:tcPr>
            <w:tcW w:type="dxa" w:w="2340"/>
          </w:tcPr>
          <w:p>
            <w:r>
              <w:t>2.5% per year</w:t>
            </w:r>
          </w:p>
        </w:tc>
        <w:tc>
          <w:tcPr>
            <w:tcW w:type="dxa" w:w="2340"/>
          </w:tcPr>
          <w:p>
            <w:r>
              <w:t>2.5% per year</w:t>
            </w:r>
          </w:p>
        </w:tc>
      </w:tr>
      <w:tr>
        <w:tc>
          <w:tcPr>
            <w:tcW w:type="dxa" w:w="2340"/>
          </w:tcPr>
          <w:p>
            <w:r>
              <w:t>Renewable Share Growth</w:t>
            </w:r>
          </w:p>
        </w:tc>
        <w:tc>
          <w:tcPr>
            <w:tcW w:type="dxa" w:w="2340"/>
          </w:tcPr>
          <w:p>
            <w:r>
              <w:t>4.5% per year</w:t>
            </w:r>
          </w:p>
        </w:tc>
        <w:tc>
          <w:tcPr>
            <w:tcW w:type="dxa" w:w="2340"/>
          </w:tcPr>
          <w:p>
            <w:r>
              <w:t>4.5% per year</w:t>
            </w:r>
          </w:p>
        </w:tc>
        <w:tc>
          <w:tcPr>
            <w:tcW w:type="dxa" w:w="2340"/>
          </w:tcPr>
          <w:p>
            <w:r>
              <w:t>4.5% per year</w:t>
            </w:r>
          </w:p>
        </w:tc>
      </w:tr>
      <w:tr>
        <w:tc>
          <w:tcPr>
            <w:tcW w:type="dxa" w:w="2340"/>
          </w:tcPr>
          <w:p>
            <w:r>
              <w:t>Renewable Investment Acceleration</w:t>
            </w:r>
          </w:p>
        </w:tc>
        <w:tc>
          <w:tcPr>
            <w:tcW w:type="dxa" w:w="2340"/>
          </w:tcPr>
          <w:p>
            <w:r>
              <w:t>None (baseline)</w:t>
            </w:r>
          </w:p>
        </w:tc>
        <w:tc>
          <w:tcPr>
            <w:tcW w:type="dxa" w:w="2340"/>
          </w:tcPr>
          <w:p>
            <w:r>
              <w:t>20% boost</w:t>
            </w:r>
          </w:p>
        </w:tc>
        <w:tc>
          <w:tcPr>
            <w:tcW w:type="dxa" w:w="2340"/>
          </w:tcPr>
          <w:p>
            <w:r>
              <w:t>40% boost (industry)</w:t>
              <w:br/>
              <w:t>60% boost (South/Islands)</w:t>
            </w:r>
          </w:p>
        </w:tc>
      </w:tr>
      <w:tr>
        <w:tc>
          <w:tcPr>
            <w:tcW w:type="dxa" w:w="2340"/>
          </w:tcPr>
          <w:p>
            <w:r>
              <w:t>Renewable Capacity (2021)</w:t>
            </w:r>
          </w:p>
        </w:tc>
        <w:tc>
          <w:tcPr>
            <w:tcW w:type="dxa" w:w="2340"/>
          </w:tcPr>
          <w:p>
            <w:r>
              <w:t>60 GW</w:t>
            </w:r>
          </w:p>
        </w:tc>
        <w:tc>
          <w:tcPr>
            <w:tcW w:type="dxa" w:w="2340"/>
          </w:tcPr>
          <w:p>
            <w:r>
              <w:t>60 GW</w:t>
            </w:r>
          </w:p>
        </w:tc>
        <w:tc>
          <w:tcPr>
            <w:tcW w:type="dxa" w:w="2340"/>
          </w:tcPr>
          <w:p>
            <w:r>
              <w:t>60 GW</w:t>
            </w:r>
          </w:p>
        </w:tc>
      </w:tr>
      <w:tr>
        <w:tc>
          <w:tcPr>
            <w:tcW w:type="dxa" w:w="2340"/>
          </w:tcPr>
          <w:p>
            <w:r>
              <w:t>Target Renewable Share (2050)</w:t>
            </w:r>
          </w:p>
        </w:tc>
        <w:tc>
          <w:tcPr>
            <w:tcW w:type="dxa" w:w="2340"/>
          </w:tcPr>
          <w:p>
            <w:r>
              <w:t>~70%</w:t>
            </w:r>
          </w:p>
        </w:tc>
        <w:tc>
          <w:tcPr>
            <w:tcW w:type="dxa" w:w="2340"/>
          </w:tcPr>
          <w:p>
            <w:r>
              <w:t>~80%</w:t>
            </w:r>
          </w:p>
        </w:tc>
        <w:tc>
          <w:tcPr>
            <w:tcW w:type="dxa" w:w="2340"/>
          </w:tcPr>
          <w:p>
            <w:r>
              <w:t>~90%</w:t>
            </w:r>
          </w:p>
        </w:tc>
      </w:tr>
    </w:tbl>
    <w:p>
      <w:r>
        <w:rPr>
          <w:b/>
        </w:rPr>
        <w:t xml:space="preserve">Note: </w:t>
      </w:r>
      <w:r>
        <w:t>AEEI = Autonomous Energy Efficiency Improvement</w:t>
      </w:r>
    </w:p>
    <w:p/>
    <w:p>
      <w:pPr>
        <w:pStyle w:val="Heading2"/>
      </w:pPr>
      <w:r>
        <w:t>Table 6: Regional GDP Growth Rates (Base Assumptions)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  <w:shd w:fill="D9E2F3"/>
          </w:tcPr>
          <w:p>
            <w:pPr>
              <w:jc w:val="center"/>
            </w:pPr>
            <w:r>
              <w:rPr>
                <w:b/>
              </w:rPr>
              <w:t>Region</w:t>
            </w:r>
          </w:p>
        </w:tc>
        <w:tc>
          <w:tcPr>
            <w:tcW w:type="dxa" w:w="2340"/>
            <w:shd w:fill="D9E2F3"/>
          </w:tcPr>
          <w:p>
            <w:pPr>
              <w:jc w:val="center"/>
            </w:pPr>
            <w:r>
              <w:rPr>
                <w:b/>
              </w:rPr>
              <w:t>BAU Growth Rate</w:t>
            </w:r>
          </w:p>
        </w:tc>
        <w:tc>
          <w:tcPr>
            <w:tcW w:type="dxa" w:w="2340"/>
            <w:shd w:fill="D9E2F3"/>
          </w:tcPr>
          <w:p>
            <w:pPr>
              <w:jc w:val="center"/>
            </w:pPr>
            <w:r>
              <w:rPr>
                <w:b/>
              </w:rPr>
              <w:t>ETS1 Adjustment</w:t>
            </w:r>
          </w:p>
        </w:tc>
        <w:tc>
          <w:tcPr>
            <w:tcW w:type="dxa" w:w="2340"/>
            <w:shd w:fill="D9E2F3"/>
          </w:tcPr>
          <w:p>
            <w:pPr>
              <w:jc w:val="center"/>
            </w:pPr>
            <w:r>
              <w:rPr>
                <w:b/>
              </w:rPr>
              <w:t>ETS2 Adjustment</w:t>
            </w:r>
          </w:p>
        </w:tc>
      </w:tr>
      <w:tr>
        <w:tc>
          <w:tcPr>
            <w:tcW w:type="dxa" w:w="2340"/>
          </w:tcPr>
          <w:p>
            <w:r>
              <w:t>Northwest</w:t>
            </w:r>
          </w:p>
        </w:tc>
        <w:tc>
          <w:tcPr>
            <w:tcW w:type="dxa" w:w="2340"/>
          </w:tcPr>
          <w:p>
            <w:r>
              <w:t>1.5% per year</w:t>
            </w:r>
          </w:p>
        </w:tc>
        <w:tc>
          <w:tcPr>
            <w:tcW w:type="dxa" w:w="2340"/>
          </w:tcPr>
          <w:p>
            <w:r>
              <w:t>-0.4% (industrial costs)</w:t>
            </w:r>
          </w:p>
        </w:tc>
        <w:tc>
          <w:tcPr>
            <w:tcW w:type="dxa" w:w="2340"/>
          </w:tcPr>
          <w:p>
            <w:r>
              <w:t>-0.2% (offset by green investment)</w:t>
            </w:r>
          </w:p>
        </w:tc>
      </w:tr>
      <w:tr>
        <w:tc>
          <w:tcPr>
            <w:tcW w:type="dxa" w:w="2340"/>
          </w:tcPr>
          <w:p>
            <w:r>
              <w:t>Northeast</w:t>
            </w:r>
          </w:p>
        </w:tc>
        <w:tc>
          <w:tcPr>
            <w:tcW w:type="dxa" w:w="2340"/>
          </w:tcPr>
          <w:p>
            <w:r>
              <w:t>1.8% per year</w:t>
            </w:r>
          </w:p>
        </w:tc>
        <w:tc>
          <w:tcPr>
            <w:tcW w:type="dxa" w:w="2340"/>
          </w:tcPr>
          <w:p>
            <w:r>
              <w:t>-0.4% (industrial costs)</w:t>
            </w:r>
          </w:p>
        </w:tc>
        <w:tc>
          <w:tcPr>
            <w:tcW w:type="dxa" w:w="2340"/>
          </w:tcPr>
          <w:p>
            <w:r>
              <w:t>-0.2% (offset by green investment)</w:t>
            </w:r>
          </w:p>
        </w:tc>
      </w:tr>
      <w:tr>
        <w:tc>
          <w:tcPr>
            <w:tcW w:type="dxa" w:w="2340"/>
          </w:tcPr>
          <w:p>
            <w:r>
              <w:t>Centre</w:t>
            </w:r>
          </w:p>
        </w:tc>
        <w:tc>
          <w:tcPr>
            <w:tcW w:type="dxa" w:w="2340"/>
          </w:tcPr>
          <w:p>
            <w:r>
              <w:t>1.6% per year</w:t>
            </w:r>
          </w:p>
        </w:tc>
        <w:tc>
          <w:tcPr>
            <w:tcW w:type="dxa" w:w="2340"/>
          </w:tcPr>
          <w:p>
            <w:r>
              <w:t>+0.3% (green services)</w:t>
            </w:r>
          </w:p>
        </w:tc>
        <w:tc>
          <w:tcPr>
            <w:tcW w:type="dxa" w:w="2340"/>
          </w:tcPr>
          <w:p>
            <w:r>
              <w:t>+0.4% (green buildings)</w:t>
            </w:r>
          </w:p>
        </w:tc>
      </w:tr>
      <w:tr>
        <w:tc>
          <w:tcPr>
            <w:tcW w:type="dxa" w:w="2340"/>
          </w:tcPr>
          <w:p>
            <w:r>
              <w:t>South</w:t>
            </w:r>
          </w:p>
        </w:tc>
        <w:tc>
          <w:tcPr>
            <w:tcW w:type="dxa" w:w="2340"/>
          </w:tcPr>
          <w:p>
            <w:r>
              <w:t>2.2% per year</w:t>
            </w:r>
          </w:p>
        </w:tc>
        <w:tc>
          <w:tcPr>
            <w:tcW w:type="dxa" w:w="2340"/>
          </w:tcPr>
          <w:p>
            <w:r>
              <w:t>+0.3% (green investment)</w:t>
            </w:r>
          </w:p>
        </w:tc>
        <w:tc>
          <w:tcPr>
            <w:tcW w:type="dxa" w:w="2340"/>
          </w:tcPr>
          <w:p>
            <w:r>
              <w:t>+0.4% (renewable projects)</w:t>
            </w:r>
          </w:p>
        </w:tc>
      </w:tr>
      <w:tr>
        <w:tc>
          <w:tcPr>
            <w:tcW w:type="dxa" w:w="2340"/>
          </w:tcPr>
          <w:p>
            <w:r>
              <w:t>Islands</w:t>
            </w:r>
          </w:p>
        </w:tc>
        <w:tc>
          <w:tcPr>
            <w:tcW w:type="dxa" w:w="2340"/>
          </w:tcPr>
          <w:p>
            <w:r>
              <w:t>2.0% per year</w:t>
            </w:r>
          </w:p>
        </w:tc>
        <w:tc>
          <w:tcPr>
            <w:tcW w:type="dxa" w:w="2340"/>
          </w:tcPr>
          <w:p>
            <w:r>
              <w:t>+0.3% (green investment)</w:t>
            </w:r>
          </w:p>
        </w:tc>
        <w:tc>
          <w:tcPr>
            <w:tcW w:type="dxa" w:w="2340"/>
          </w:tcPr>
          <w:p>
            <w:r>
              <w:t>+0.4% (renewable projects)</w:t>
            </w:r>
          </w:p>
        </w:tc>
      </w:tr>
    </w:tbl>
    <w:p/>
    <w:p>
      <w:r>
        <w:br w:type="page"/>
      </w:r>
    </w:p>
    <w:p>
      <w:pPr>
        <w:pStyle w:val="Heading2"/>
      </w:pPr>
      <w:r>
        <w:t>Table 7: Expected Scenario Outcomes (2050 vs. Baseline)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  <w:shd w:fill="D9E2F3"/>
          </w:tcPr>
          <w:p>
            <w:pPr>
              <w:jc w:val="center"/>
            </w:pPr>
            <w:r>
              <w:rPr>
                <w:b/>
              </w:rPr>
              <w:t>Indicator</w:t>
            </w:r>
          </w:p>
        </w:tc>
        <w:tc>
          <w:tcPr>
            <w:tcW w:type="dxa" w:w="2340"/>
            <w:shd w:fill="D9E2F3"/>
          </w:tcPr>
          <w:p>
            <w:pPr>
              <w:jc w:val="center"/>
            </w:pPr>
            <w:r>
              <w:rPr>
                <w:b/>
              </w:rPr>
              <w:t>BAU (2050)</w:t>
            </w:r>
          </w:p>
        </w:tc>
        <w:tc>
          <w:tcPr>
            <w:tcW w:type="dxa" w:w="2340"/>
            <w:shd w:fill="D9E2F3"/>
          </w:tcPr>
          <w:p>
            <w:pPr>
              <w:jc w:val="center"/>
            </w:pPr>
            <w:r>
              <w:rPr>
                <w:b/>
              </w:rPr>
              <w:t>ETS1 (2050)</w:t>
            </w:r>
          </w:p>
        </w:tc>
        <w:tc>
          <w:tcPr>
            <w:tcW w:type="dxa" w:w="2340"/>
            <w:shd w:fill="D9E2F3"/>
          </w:tcPr>
          <w:p>
            <w:pPr>
              <w:jc w:val="center"/>
            </w:pPr>
            <w:r>
              <w:rPr>
                <w:b/>
              </w:rPr>
              <w:t>ETS2 (2050)</w:t>
            </w:r>
          </w:p>
        </w:tc>
      </w:tr>
      <w:tr>
        <w:tc>
          <w:tcPr>
            <w:tcW w:type="dxa" w:w="2340"/>
          </w:tcPr>
          <w:p>
            <w:r>
              <w:t>GDP Impact</w:t>
            </w:r>
          </w:p>
        </w:tc>
        <w:tc>
          <w:tcPr>
            <w:tcW w:type="dxa" w:w="2340"/>
          </w:tcPr>
          <w:p>
            <w:r>
              <w:t>Baseline</w:t>
            </w:r>
          </w:p>
        </w:tc>
        <w:tc>
          <w:tcPr>
            <w:tcW w:type="dxa" w:w="2340"/>
          </w:tcPr>
          <w:p>
            <w:r>
              <w:t>-0.5% to -1.0%</w:t>
            </w:r>
          </w:p>
        </w:tc>
        <w:tc>
          <w:tcPr>
            <w:tcW w:type="dxa" w:w="2340"/>
          </w:tcPr>
          <w:p>
            <w:r>
              <w:t>-1.0% to -1.5%</w:t>
            </w:r>
          </w:p>
        </w:tc>
      </w:tr>
      <w:tr>
        <w:tc>
          <w:tcPr>
            <w:tcW w:type="dxa" w:w="2340"/>
          </w:tcPr>
          <w:p>
            <w:r>
              <w:t>CO₂ Emissions Reduction</w:t>
            </w:r>
          </w:p>
        </w:tc>
        <w:tc>
          <w:tcPr>
            <w:tcW w:type="dxa" w:w="2340"/>
          </w:tcPr>
          <w:p>
            <w:r>
              <w:t>0% (baseline)</w:t>
            </w:r>
          </w:p>
        </w:tc>
        <w:tc>
          <w:tcPr>
            <w:tcW w:type="dxa" w:w="2340"/>
          </w:tcPr>
          <w:p>
            <w:r>
              <w:t>-15% to -20%</w:t>
            </w:r>
          </w:p>
        </w:tc>
        <w:tc>
          <w:tcPr>
            <w:tcW w:type="dxa" w:w="2340"/>
          </w:tcPr>
          <w:p>
            <w:r>
              <w:t>-35% to -45%</w:t>
            </w:r>
          </w:p>
        </w:tc>
      </w:tr>
      <w:tr>
        <w:tc>
          <w:tcPr>
            <w:tcW w:type="dxa" w:w="2340"/>
          </w:tcPr>
          <w:p>
            <w:r>
              <w:t>CO₂ Intensity Reduction</w:t>
            </w:r>
          </w:p>
        </w:tc>
        <w:tc>
          <w:tcPr>
            <w:tcW w:type="dxa" w:w="2340"/>
          </w:tcPr>
          <w:p>
            <w:r>
              <w:t>Natural decline</w:t>
            </w:r>
          </w:p>
        </w:tc>
        <w:tc>
          <w:tcPr>
            <w:tcW w:type="dxa" w:w="2340"/>
          </w:tcPr>
          <w:p>
            <w:r>
              <w:t>-25% to -30%</w:t>
            </w:r>
          </w:p>
        </w:tc>
        <w:tc>
          <w:tcPr>
            <w:tcW w:type="dxa" w:w="2340"/>
          </w:tcPr>
          <w:p>
            <w:r>
              <w:t>-45% to -55%</w:t>
            </w:r>
          </w:p>
        </w:tc>
      </w:tr>
      <w:tr>
        <w:tc>
          <w:tcPr>
            <w:tcW w:type="dxa" w:w="2340"/>
          </w:tcPr>
          <w:p>
            <w:r>
              <w:t>Renewable Electricity Share</w:t>
            </w:r>
          </w:p>
        </w:tc>
        <w:tc>
          <w:tcPr>
            <w:tcW w:type="dxa" w:w="2340"/>
          </w:tcPr>
          <w:p>
            <w:r>
              <w:t>~70%</w:t>
            </w:r>
          </w:p>
        </w:tc>
        <w:tc>
          <w:tcPr>
            <w:tcW w:type="dxa" w:w="2340"/>
          </w:tcPr>
          <w:p>
            <w:r>
              <w:t>~80%</w:t>
            </w:r>
          </w:p>
        </w:tc>
        <w:tc>
          <w:tcPr>
            <w:tcW w:type="dxa" w:w="2340"/>
          </w:tcPr>
          <w:p>
            <w:r>
              <w:t>~90%</w:t>
            </w:r>
          </w:p>
        </w:tc>
      </w:tr>
      <w:tr>
        <w:tc>
          <w:tcPr>
            <w:tcW w:type="dxa" w:w="2340"/>
          </w:tcPr>
          <w:p>
            <w:r>
              <w:t>Carbon Revenue (€ billion)</w:t>
            </w:r>
          </w:p>
        </w:tc>
        <w:tc>
          <w:tcPr>
            <w:tcW w:type="dxa" w:w="2340"/>
          </w:tcPr>
          <w:p>
            <w:r>
              <w:t>€0</w:t>
            </w:r>
          </w:p>
        </w:tc>
        <w:tc>
          <w:tcPr>
            <w:tcW w:type="dxa" w:w="2340"/>
          </w:tcPr>
          <w:p>
            <w:r>
              <w:t>€15-20</w:t>
            </w:r>
          </w:p>
        </w:tc>
        <w:tc>
          <w:tcPr>
            <w:tcW w:type="dxa" w:w="2340"/>
          </w:tcPr>
          <w:p>
            <w:r>
              <w:t>€25-35</w:t>
            </w:r>
          </w:p>
        </w:tc>
      </w:tr>
      <w:tr>
        <w:tc>
          <w:tcPr>
            <w:tcW w:type="dxa" w:w="2340"/>
          </w:tcPr>
          <w:p>
            <w:r>
              <w:t>Renewable Capacity (GW)</w:t>
            </w:r>
          </w:p>
        </w:tc>
        <w:tc>
          <w:tcPr>
            <w:tcW w:type="dxa" w:w="2340"/>
          </w:tcPr>
          <w:p>
            <w:r>
              <w:t>~140</w:t>
            </w:r>
          </w:p>
        </w:tc>
        <w:tc>
          <w:tcPr>
            <w:tcW w:type="dxa" w:w="2340"/>
          </w:tcPr>
          <w:p>
            <w:r>
              <w:t>~160</w:t>
            </w:r>
          </w:p>
        </w:tc>
        <w:tc>
          <w:tcPr>
            <w:tcW w:type="dxa" w:w="2340"/>
          </w:tcPr>
          <w:p>
            <w:r>
              <w:t>~200</w:t>
            </w:r>
          </w:p>
        </w:tc>
      </w:tr>
      <w:tr>
        <w:tc>
          <w:tcPr>
            <w:tcW w:type="dxa" w:w="2340"/>
          </w:tcPr>
          <w:p>
            <w:r>
              <w:t>Employment Effect (million)</w:t>
            </w:r>
          </w:p>
        </w:tc>
        <w:tc>
          <w:tcPr>
            <w:tcW w:type="dxa" w:w="2340"/>
          </w:tcPr>
          <w:p>
            <w:r>
              <w:t>Baseline</w:t>
            </w:r>
          </w:p>
        </w:tc>
        <w:tc>
          <w:tcPr>
            <w:tcW w:type="dxa" w:w="2340"/>
          </w:tcPr>
          <w:p>
            <w:r>
              <w:t>-0.1 to 0.0</w:t>
            </w:r>
          </w:p>
        </w:tc>
        <w:tc>
          <w:tcPr>
            <w:tcW w:type="dxa" w:w="2340"/>
          </w:tcPr>
          <w:p>
            <w:r>
              <w:t>0.0 to +0.2</w:t>
            </w:r>
          </w:p>
        </w:tc>
      </w:tr>
    </w:tbl>
    <w:p/>
    <w:p>
      <w:pPr>
        <w:pStyle w:val="Heading2"/>
      </w:pPr>
      <w:r>
        <w:t>Table 8: Model Technical Specifications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680"/>
        <w:gridCol w:w="4680"/>
      </w:tblGrid>
      <w:tr>
        <w:tc>
          <w:tcPr>
            <w:tcW w:type="dxa" w:w="4680"/>
            <w:shd w:fill="D9E2F3"/>
          </w:tcPr>
          <w:p>
            <w:pPr>
              <w:jc w:val="center"/>
            </w:pPr>
            <w:r>
              <w:rPr>
                <w:b/>
              </w:rPr>
              <w:t>Feature</w:t>
            </w:r>
          </w:p>
        </w:tc>
        <w:tc>
          <w:tcPr>
            <w:tcW w:type="dxa" w:w="4680"/>
            <w:shd w:fill="D9E2F3"/>
          </w:tcPr>
          <w:p>
            <w:pPr>
              <w:jc w:val="center"/>
            </w:pPr>
            <w:r>
              <w:rPr>
                <w:b/>
              </w:rPr>
              <w:t>Specification</w:t>
            </w:r>
          </w:p>
        </w:tc>
      </w:tr>
      <w:tr>
        <w:tc>
          <w:tcPr>
            <w:tcW w:type="dxa" w:w="4680"/>
          </w:tcPr>
          <w:p>
            <w:r>
              <w:t>Model Type</w:t>
            </w:r>
          </w:p>
        </w:tc>
        <w:tc>
          <w:tcPr>
            <w:tcW w:type="dxa" w:w="4680"/>
          </w:tcPr>
          <w:p>
            <w:r>
              <w:t>Recursive dynamic CGE</w:t>
            </w:r>
          </w:p>
        </w:tc>
      </w:tr>
      <w:tr>
        <w:tc>
          <w:tcPr>
            <w:tcW w:type="dxa" w:w="4680"/>
          </w:tcPr>
          <w:p>
            <w:r>
              <w:t>Time Horizon</w:t>
            </w:r>
          </w:p>
        </w:tc>
        <w:tc>
          <w:tcPr>
            <w:tcW w:type="dxa" w:w="4680"/>
          </w:tcPr>
          <w:p>
            <w:r>
              <w:t>2021-2050 (30 years, annual)</w:t>
            </w:r>
          </w:p>
        </w:tc>
      </w:tr>
      <w:tr>
        <w:tc>
          <w:tcPr>
            <w:tcW w:type="dxa" w:w="4680"/>
          </w:tcPr>
          <w:p>
            <w:r>
              <w:t>Sectoral Aggregation</w:t>
            </w:r>
          </w:p>
        </w:tc>
        <w:tc>
          <w:tcPr>
            <w:tcW w:type="dxa" w:w="4680"/>
          </w:tcPr>
          <w:p>
            <w:r>
              <w:t>5 aggregate sectors (Agriculture, Industry, Energy, Transport, Services)</w:t>
            </w:r>
          </w:p>
        </w:tc>
      </w:tr>
      <w:tr>
        <w:tc>
          <w:tcPr>
            <w:tcW w:type="dxa" w:w="4680"/>
          </w:tcPr>
          <w:p>
            <w:r>
              <w:t>Regional Disaggregation</w:t>
            </w:r>
          </w:p>
        </w:tc>
        <w:tc>
          <w:tcPr>
            <w:tcW w:type="dxa" w:w="4680"/>
          </w:tcPr>
          <w:p>
            <w:r>
              <w:t>5 macro-regions (Northwest, Northeast, Centre, South, Islands)</w:t>
            </w:r>
          </w:p>
        </w:tc>
      </w:tr>
      <w:tr>
        <w:tc>
          <w:tcPr>
            <w:tcW w:type="dxa" w:w="4680"/>
          </w:tcPr>
          <w:p>
            <w:r>
              <w:t>Household Types</w:t>
            </w:r>
          </w:p>
        </w:tc>
        <w:tc>
          <w:tcPr>
            <w:tcW w:type="dxa" w:w="4680"/>
          </w:tcPr>
          <w:p>
            <w:r>
              <w:t>5 regional households</w:t>
            </w:r>
          </w:p>
        </w:tc>
      </w:tr>
      <w:tr>
        <w:tc>
          <w:tcPr>
            <w:tcW w:type="dxa" w:w="4680"/>
          </w:tcPr>
          <w:p>
            <w:r>
              <w:t>Energy Carriers</w:t>
            </w:r>
          </w:p>
        </w:tc>
        <w:tc>
          <w:tcPr>
            <w:tcW w:type="dxa" w:w="4680"/>
          </w:tcPr>
          <w:p>
            <w:r>
              <w:t>3 types (Electricity, Gas, Other Energy)</w:t>
            </w:r>
          </w:p>
        </w:tc>
      </w:tr>
      <w:tr>
        <w:tc>
          <w:tcPr>
            <w:tcW w:type="dxa" w:w="4680"/>
          </w:tcPr>
          <w:p>
            <w:r>
              <w:t>Production Technology</w:t>
            </w:r>
          </w:p>
        </w:tc>
        <w:tc>
          <w:tcPr>
            <w:tcW w:type="dxa" w:w="4680"/>
          </w:tcPr>
          <w:p>
            <w:r>
              <w:t>Nested CES functions (VA-Energy-Materials)</w:t>
            </w:r>
          </w:p>
        </w:tc>
      </w:tr>
      <w:tr>
        <w:tc>
          <w:tcPr>
            <w:tcW w:type="dxa" w:w="4680"/>
          </w:tcPr>
          <w:p>
            <w:r>
              <w:t>Trade Specification</w:t>
            </w:r>
          </w:p>
        </w:tc>
        <w:tc>
          <w:tcPr>
            <w:tcW w:type="dxa" w:w="4680"/>
          </w:tcPr>
          <w:p>
            <w:r>
              <w:t>Armington (imports) + CET (exports)</w:t>
            </w:r>
          </w:p>
        </w:tc>
      </w:tr>
      <w:tr>
        <w:tc>
          <w:tcPr>
            <w:tcW w:type="dxa" w:w="4680"/>
          </w:tcPr>
          <w:p>
            <w:r>
              <w:t>Solution Algorithm</w:t>
            </w:r>
          </w:p>
        </w:tc>
        <w:tc>
          <w:tcPr>
            <w:tcW w:type="dxa" w:w="4680"/>
          </w:tcPr>
          <w:p>
            <w:r>
              <w:t>IPOPT nonlinear solver</w:t>
            </w:r>
          </w:p>
        </w:tc>
      </w:tr>
      <w:tr>
        <w:tc>
          <w:tcPr>
            <w:tcW w:type="dxa" w:w="4680"/>
          </w:tcPr>
          <w:p>
            <w:r>
              <w:t>Equilibrium Concept</w:t>
            </w:r>
          </w:p>
        </w:tc>
        <w:tc>
          <w:tcPr>
            <w:tcW w:type="dxa" w:w="4680"/>
          </w:tcPr>
          <w:p>
            <w:r>
              <w:t>Walrasian general equilibrium</w:t>
            </w:r>
          </w:p>
        </w:tc>
      </w:tr>
    </w:tbl>
    <w:p/>
    <w:p>
      <w:r>
        <w:br w:type="page"/>
      </w:r>
    </w:p>
    <w:p>
      <w:pPr>
        <w:pStyle w:val="Heading2"/>
      </w:pPr>
      <w:r>
        <w:t>Summary of Key Differences</w:t>
      </w:r>
    </w:p>
    <w:p>
      <w:pPr>
        <w:pStyle w:val="Heading3"/>
      </w:pPr>
      <w:r>
        <w:t>BAU (Business as Usual):</w:t>
      </w:r>
    </w:p>
    <w:p>
      <w:pPr>
        <w:pStyle w:val="ListBullet"/>
      </w:pPr>
      <w:r>
        <w:t>No carbon pricing</w:t>
      </w:r>
    </w:p>
    <w:p>
      <w:pPr>
        <w:pStyle w:val="ListBullet"/>
      </w:pPr>
      <w:r>
        <w:t>Natural technological progress only</w:t>
      </w:r>
    </w:p>
    <w:p>
      <w:pPr>
        <w:pStyle w:val="ListBullet"/>
      </w:pPr>
      <w:r>
        <w:t>Renewable growth from market forces</w:t>
      </w:r>
    </w:p>
    <w:p>
      <w:pPr>
        <w:pStyle w:val="ListBullet"/>
      </w:pPr>
      <w:r>
        <w:t>Serves as baseline reference</w:t>
      </w:r>
    </w:p>
    <w:p>
      <w:pPr>
        <w:pStyle w:val="Heading3"/>
      </w:pPr>
      <w:r>
        <w:t>ETS1 (EU ETS Phase 4):</w:t>
      </w:r>
    </w:p>
    <w:p>
      <w:pPr>
        <w:pStyle w:val="ListBullet"/>
      </w:pPr>
      <w:r>
        <w:t>Industrial carbon pricing from 2021</w:t>
      </w:r>
    </w:p>
    <w:p>
      <w:pPr>
        <w:pStyle w:val="ListBullet"/>
      </w:pPr>
      <w:r>
        <w:t>Initial price: €53.90/tCO₂, growing at 4% p.a.</w:t>
      </w:r>
    </w:p>
    <w:p>
      <w:pPr>
        <w:pStyle w:val="ListBullet"/>
      </w:pPr>
      <w:r>
        <w:t>Market Stability Reserve (no hard price cap)</w:t>
      </w:r>
    </w:p>
    <w:p>
      <w:pPr>
        <w:pStyle w:val="ListBullet"/>
      </w:pPr>
      <w:r>
        <w:t>51% emissions coverage</w:t>
      </w:r>
    </w:p>
    <w:p>
      <w:pPr>
        <w:pStyle w:val="ListBullet"/>
      </w:pPr>
      <w:r>
        <w:t>Moderate renewable investment boost (20%)</w:t>
      </w:r>
    </w:p>
    <w:p>
      <w:pPr>
        <w:pStyle w:val="Heading3"/>
      </w:pPr>
      <w:r>
        <w:t>ETS2 (Comprehensive ETS):</w:t>
      </w:r>
    </w:p>
    <w:p>
      <w:pPr>
        <w:pStyle w:val="ListBullet"/>
      </w:pPr>
      <w:r>
        <w:t>Extended to buildings and transport from 2027</w:t>
      </w:r>
    </w:p>
    <w:p>
      <w:pPr>
        <w:pStyle w:val="ListBullet"/>
      </w:pPr>
      <w:r>
        <w:t>Dual price system: ETS1 + ETS2 (€45/tCO₂ initial)</w:t>
      </w:r>
    </w:p>
    <w:p>
      <w:pPr>
        <w:pStyle w:val="ListBullet"/>
      </w:pPr>
      <w:r>
        <w:t>Price Stability Mechanism with €45 ceiling, €22 floor</w:t>
      </w:r>
    </w:p>
    <w:p>
      <w:pPr>
        <w:pStyle w:val="ListBullet"/>
      </w:pPr>
      <w:r>
        <w:t>75% emissions coverage</w:t>
      </w:r>
    </w:p>
    <w:p>
      <w:pPr>
        <w:pStyle w:val="ListBullet"/>
      </w:pPr>
      <w:r>
        <w:t>Strong renewable investment boost (40-60%)</w:t>
      </w:r>
    </w:p>
    <w:p>
      <w:pPr>
        <w:pStyle w:val="ListBullet"/>
      </w:pPr>
      <w:r>
        <w:t>Greater regional equity (benefits South/Islands)</w:t>
      </w:r>
    </w:p>
    <w:p/>
    <w:p>
      <w:pPr>
        <w:jc w:val="center"/>
      </w:pPr>
      <w:r>
        <w:rPr>
          <w:i/>
        </w:rPr>
        <w:t xml:space="preserve">Source: </w:t>
      </w:r>
      <w:r>
        <w:rPr>
          <w:i/>
        </w:rPr>
        <w:t>Italian CGE Model Configuration Files (2024)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