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67212" w:rsidR="00005632" w:rsidP="00B67212" w:rsidRDefault="00B67212" w14:paraId="73EF6D6E" w14:textId="14A73A86">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lang w:val="en-US"/>
        </w:rPr>
        <w:t xml:space="preserve">1243234</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4AB5A71">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4C0F86" w:rsidR="004C0F86">
              <w:rPr>
                <w:rFonts w:ascii="Cambria" w:hAnsi="Cambria" w:eastAsia="Cambria" w:cs="Cambria"/>
                <w:b/>
                <w:sz w:val="20"/>
                <w:szCs w:val="20"/>
                <w:u w:val="single"/>
                <w:lang w:val="en-US"/>
              </w:rPr>
              <w:t xml:space="preserve">13</w:t>
            </w:r>
            <w:r w:rsidRPr="00B67212">
              <w:rPr>
                <w:rFonts w:ascii="Cambria" w:hAnsi="Cambria" w:eastAsia="Cambria" w:cs="Cambria"/>
                <w:b/>
                <w:sz w:val="20"/>
                <w:szCs w:val="20"/>
              </w:rPr>
              <w:t>» __</w:t>
            </w:r>
            <w:r w:rsidRPr="004C0F86" w:rsidR="004C0F86">
              <w:rPr>
                <w:rFonts w:ascii="Cambria" w:hAnsi="Cambria" w:eastAsia="Cambria" w:cs="Cambria"/>
                <w:b/>
                <w:sz w:val="20"/>
                <w:szCs w:val="20"/>
                <w:u w:val="single"/>
                <w:lang w:val="en-US"/>
              </w:rPr>
              <w:t xml:space="preserve">5</w:t>
            </w:r>
            <w:r w:rsidRPr="00B67212">
              <w:rPr>
                <w:rFonts w:ascii="Cambria" w:hAnsi="Cambria" w:eastAsia="Cambria" w:cs="Cambria"/>
                <w:b/>
                <w:sz w:val="20"/>
                <w:szCs w:val="20"/>
              </w:rPr>
              <w:t xml:space="preserve">____ </w:t>
            </w:r>
            <w:r w:rsidR="002256D4">
              <w:rPr>
                <w:rFonts w:ascii="Cascadia Mono" w:hAnsi="Cascadia Mono" w:cs="Cascadia Mono"/>
                <w:color w:val="A31515"/>
                <w:sz w:val="19"/>
                <w:szCs w:val="19"/>
                <w:highlight w:val="white"/>
              </w:rPr>
              <w:t xml:space="preserve">2025</w:t>
            </w:r>
            <w:bookmarkStart w:name="_GoBack" w:id="0"/>
            <w:bookmarkEnd w:id="0"/>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6B84E794">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lang w:val="en-US"/>
        </w:rPr>
        <w:t xml:space="preserve">ООО дырявые насочки</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именуемый(-ая)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7EF4E15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именуемое(-ый, -ая)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r w:rsidRPr="00DF3BAF" w:rsidR="00DF3BAF">
        <w:rPr>
          <w:rFonts w:ascii="Cambria" w:hAnsi="Cambria"/>
          <w:b/>
          <w:bCs/>
          <w:color w:val="333333"/>
          <w:sz w:val="20"/>
          <w:szCs w:val="20"/>
          <w:u w:val="single"/>
          <w:lang w:val="en-US"/>
        </w:rPr>
        <w:t xml:space="preserve">Никитин Николай Александрович</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Интернет сайте: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Тревожного сообщения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п.п. 3.2.2. - п.п.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интернет сайте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e-mail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Интернет сайте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6.7. Размер оплаты указанных в настоящей статье Услуг определяется на основании тарифов, размещенных на Интернет сайте: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банковских дней с даты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иных платежей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Интернет сайте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во время,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0938C" w14:textId="77777777" w:rsidR="00B5704E" w:rsidRDefault="00B5704E" w:rsidP="00005632">
      <w:pPr>
        <w:spacing w:after="0" w:line="240" w:lineRule="auto"/>
      </w:pPr>
      <w:r>
        <w:separator/>
      </w:r>
    </w:p>
  </w:endnote>
  <w:endnote w:type="continuationSeparator" w:id="0">
    <w:p w14:paraId="00985A0F" w14:textId="77777777" w:rsidR="00B5704E" w:rsidRDefault="00B5704E"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7031B" w14:textId="77777777" w:rsidR="00B5704E" w:rsidRDefault="00B5704E" w:rsidP="00005632">
      <w:pPr>
        <w:spacing w:after="0" w:line="240" w:lineRule="auto"/>
      </w:pPr>
      <w:r>
        <w:separator/>
      </w:r>
    </w:p>
  </w:footnote>
  <w:footnote w:type="continuationSeparator" w:id="0">
    <w:p w14:paraId="3EF7C2A2" w14:textId="77777777" w:rsidR="00B5704E" w:rsidRDefault="00B5704E"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99"/>
    <w:rsid w:val="00005632"/>
    <w:rsid w:val="00037FC6"/>
    <w:rsid w:val="000C4861"/>
    <w:rsid w:val="000F06DA"/>
    <w:rsid w:val="00140CC9"/>
    <w:rsid w:val="001720FA"/>
    <w:rsid w:val="001E5F71"/>
    <w:rsid w:val="002217E3"/>
    <w:rsid w:val="002256D4"/>
    <w:rsid w:val="002D3E12"/>
    <w:rsid w:val="00362A54"/>
    <w:rsid w:val="00362AD3"/>
    <w:rsid w:val="00432783"/>
    <w:rsid w:val="004A6986"/>
    <w:rsid w:val="004C0F86"/>
    <w:rsid w:val="005E02F9"/>
    <w:rsid w:val="00686230"/>
    <w:rsid w:val="00720C18"/>
    <w:rsid w:val="00723567"/>
    <w:rsid w:val="008744D5"/>
    <w:rsid w:val="008873C1"/>
    <w:rsid w:val="00B5704E"/>
    <w:rsid w:val="00B67212"/>
    <w:rsid w:val="00C6010B"/>
    <w:rsid w:val="00CF06C4"/>
    <w:rsid w:val="00D4675A"/>
    <w:rsid w:val="00DB6E99"/>
    <w:rsid w:val="00DC56E4"/>
    <w:rsid w:val="00DF3BAF"/>
    <w:rsid w:val="00F1779A"/>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my</cp:lastModifiedBy>
  <cp:revision>13</cp:revision>
  <dcterms:created xsi:type="dcterms:W3CDTF">2023-05-15T13:31:00Z</dcterms:created>
  <dcterms:modified xsi:type="dcterms:W3CDTF">2025-05-13T11:59:00Z</dcterms:modified>
</cp:coreProperties>
</file>