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2023-10-10T07:43:22Z</dcterms:modified>
  <dc:creator/>
  <dc:description/>
  <dc:identifier/>
  <dc:language/>
  <dc:subject/>
</cp:coreProperties>
</file>