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80" w:after="80"/>
      </w:pPr>
      <w:r>
        <w:t xml:space="preserve"/>
      </w:r>
    </w:p>
    <w:p>
      <w:pPr>
        <w:spacing w:before="80" w:after="80"/>
      </w:pPr>
      <w:r>
        <w:t xml:space="preserve"/>
      </w:r>
    </w:p>
    <w:p>
      <w:pPr>
        <w:spacing w:before="480" w:after="160"/>
        <w:jc w:val="center"/>
      </w:pPr>
      <w:r>
        <w:rPr>
          <w:rFonts w:ascii="Arial" w:cs="Arial" w:eastAsia="Arial" w:hAnsi="Arial"/>
          <w:b/>
          <w:bCs/>
          <w:color w:val="1F4E79"/>
          <w:sz w:val="64"/>
          <w:szCs w:val="64"/>
        </w:rPr>
        <w:t xml:space="preserve">COAL INVENTORY</w:t>
      </w:r>
    </w:p>
    <w:p>
      <w:pPr>
        <w:spacing w:before="0" w:after="160"/>
        <w:jc w:val="center"/>
      </w:pPr>
      <w:r>
        <w:rPr>
          <w:rFonts w:ascii="Arial" w:cs="Arial" w:eastAsia="Arial" w:hAnsi="Arial"/>
          <w:b/>
          <w:bCs/>
          <w:color w:val="2E75B6"/>
          <w:sz w:val="40"/>
          <w:szCs w:val="40"/>
        </w:rPr>
        <w:t xml:space="preserve">Re-Order Point (ROP) Algorithm</w:t>
      </w:r>
    </w:p>
    <w:p>
      <w:pPr>
        <w:spacing w:before="0" w:after="80"/>
        <w:jc w:val="center"/>
      </w:pPr>
      <w:r>
        <w:rPr>
          <w:rFonts w:ascii="Arial" w:cs="Arial" w:eastAsia="Arial" w:hAnsi="Arial"/>
          <w:color w:val="555555"/>
          <w:sz w:val="26"/>
          <w:szCs w:val="26"/>
        </w:rPr>
        <w:t xml:space="preserve">Barh  ·  Dadri  ·  Kudgi Power Plants</w:t>
      </w:r>
    </w:p>
    <w:p>
      <w:pPr>
        <w:spacing w:before="80" w:after="80"/>
        <w:jc w:val="center"/>
      </w:pPr>
      <w:r>
        <w:rPr>
          <w:rFonts w:ascii="Arial" w:cs="Arial" w:eastAsia="Arial" w:hAnsi="Arial"/>
          <w:i/>
          <w:iCs/>
          <w:color w:val="888888"/>
          <w:sz w:val="22"/>
          <w:szCs w:val="22"/>
        </w:rPr>
        <w:t xml:space="preserve">Complete Guide: Concepts, Formulae &amp; Python Implementation</w:t>
      </w:r>
    </w:p>
    <w:p>
      <w:pPr>
        <w:spacing w:before="40" w:after="480"/>
        <w:jc w:val="center"/>
      </w:pPr>
      <w:r>
        <w:rPr>
          <w:rFonts w:ascii="Arial" w:cs="Arial" w:eastAsia="Arial" w:hAnsi="Arial"/>
          <w:i/>
          <w:iCs/>
          <w:color w:val="AAAAAA"/>
          <w:sz w:val="18"/>
          <w:szCs w:val="18"/>
        </w:rPr>
        <w:t xml:space="preserve">v2.0  |  Reviewed &amp; Corrected</w:t>
      </w:r>
    </w:p>
    <w:p>
      <w:pPr>
        <w:pBdr>
          <w:bottom w:val="single" w:color="2E75B6" w:sz="4" w:space="1"/>
        </w:pBdr>
        <w:spacing w:before="120" w:after="120"/>
      </w:pPr>
      <w:r>
        <w:t xml:space="preserve"/>
      </w:r>
    </w:p>
    <w:p>
      <w:pPr>
        <w:spacing w:before="8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F4E79" w:sz="1"/>
              <w:left w:val="single" w:color="1F4E79" w:sz="1"/>
              <w:bottom w:val="single" w:color="1F4E79" w:sz="1"/>
              <w:right w:val="single" w:color="1F4E79" w:sz="1"/>
            </w:tcBorders>
            <w:shd w:fill="1E8449" w:val="clear"/>
            <w:tcMar>
              <w:top w:type="dxa" w:w="120"/>
              <w:left w:type="dxa" w:w="240"/>
              <w:bottom w:type="dxa" w:w="120"/>
              <w:right w:type="dxa" w:w="240"/>
            </w:tcMar>
          </w:tcPr>
          <w:p>
            <w:pPr>
              <w:jc w:val="center"/>
            </w:pPr>
            <w:r>
              <w:rPr>
                <w:rFonts w:ascii="Arial" w:cs="Arial" w:eastAsia="Arial" w:hAnsi="Arial"/>
                <w:b/>
                <w:bCs/>
                <w:color w:val="FFFFFF"/>
                <w:sz w:val="22"/>
                <w:szCs w:val="22"/>
              </w:rPr>
              <w:t xml:space="preserve">Expert Review Result:  Accuracy 90–95%  |  Structure: Excellent  |  Production Use: Yes</w:t>
            </w:r>
          </w:p>
        </w:tc>
      </w:tr>
      <w:tr>
        <w:tc>
          <w:tcPr>
            <w:tcW w:type="dxa" w:w="9360"/>
            <w:tcBorders>
              <w:top w:val="single" w:color="CCCCCC" w:sz="1"/>
              <w:left w:val="single" w:color="CCCCCC" w:sz="1"/>
              <w:bottom w:val="single" w:color="CCCCCC" w:sz="1"/>
              <w:right w:val="single" w:color="CCCCCC" w:sz="1"/>
            </w:tcBorders>
            <w:shd w:fill="D5F5E3" w:val="clear"/>
            <w:tcMar>
              <w:top w:type="dxa" w:w="100"/>
              <w:left w:type="dxa" w:w="240"/>
              <w:bottom w:type="dxa" w:w="100"/>
              <w:right w:type="dxa" w:w="240"/>
            </w:tcMar>
          </w:tcPr>
          <w:p>
            <w:r>
              <w:rPr>
                <w:rFonts w:ascii="Arial" w:cs="Arial" w:eastAsia="Arial" w:hAnsi="Arial"/>
                <w:b/>
                <w:bCs/>
                <w:color w:val="1E8449"/>
                <w:sz w:val="20"/>
                <w:szCs w:val="20"/>
              </w:rPr>
              <w:t xml:space="preserve">This version incorporates all reviewer corrections: </w:t>
            </w:r>
            <w:r>
              <w:rPr>
                <w:rFonts w:ascii="Arial" w:cs="Arial" w:eastAsia="Arial" w:hAnsi="Arial"/>
                <w:sz w:val="20"/>
                <w:szCs w:val="20"/>
              </w:rPr>
              <w:t xml:space="preserve">Lead Time wording fix · Dynamic lead time code added · EOQ clarified · Days of Stock added · Real data ROP values inserted.</w:t>
            </w:r>
          </w:p>
        </w:tc>
      </w:tr>
    </w:tbl>
    <w:p>
      <w:pPr>
        <w:spacing w:before="80" w:after="80"/>
      </w:pPr>
      <w:r>
        <w:t xml:space="preserve"/>
      </w:r>
    </w:p>
    <w:p>
      <w:pPr>
        <w:pBdr>
          <w:bottom w:val="single" w:color="2E75B6" w:sz="4" w:space="1"/>
        </w:pBdr>
        <w:spacing w:before="120" w:after="120"/>
      </w:pPr>
      <w:r>
        <w:t xml:space="preserve"/>
      </w:r>
    </w:p>
    <w:p>
      <w:pPr>
        <w:pStyle w:val="Heading1"/>
        <w:spacing w:before="320" w:after="160"/>
      </w:pPr>
      <w:r>
        <w:rPr>
          <w:rFonts w:ascii="Arial" w:cs="Arial" w:eastAsia="Arial" w:hAnsi="Arial"/>
          <w:b/>
          <w:bCs/>
          <w:color w:val="1F4E79"/>
          <w:sz w:val="36"/>
          <w:szCs w:val="36"/>
        </w:rPr>
        <w:t xml:space="preserve">1. What is RR Quantity and ROP?</w:t>
      </w:r>
    </w:p>
    <w:p>
      <w:pPr>
        <w:spacing w:before="200" w:after="100"/>
      </w:pPr>
      <w:r>
        <w:rPr>
          <w:rFonts w:ascii="Arial" w:cs="Arial" w:eastAsia="Arial" w:hAnsi="Arial"/>
          <w:b/>
          <w:bCs/>
          <w:color w:val="2E4057"/>
          <w:sz w:val="24"/>
          <w:szCs w:val="24"/>
        </w:rPr>
        <w:t xml:space="preserve">RR Quantity (Rake Receipt Quantity)</w:t>
      </w:r>
    </w:p>
    <w:p>
      <w:pPr>
        <w:spacing w:before="80" w:after="80"/>
      </w:pPr>
      <w:r>
        <w:rPr>
          <w:rFonts w:ascii="Arial" w:cs="Arial" w:eastAsia="Arial" w:hAnsi="Arial"/>
          <w:sz w:val="22"/>
          <w:szCs w:val="22"/>
        </w:rPr>
        <w:t xml:space="preserve">RR Quantity is the amount of coal received in one railway rake shipment. Each rake delivery is recorded with its date, plant destination, and quantity in metric tonnes (MT). In your dataset this is the rr_quantity column from the procurement file.</w:t>
      </w:r>
    </w:p>
    <w:p>
      <w:pPr>
        <w:pBdr>
          <w:left w:val="single" w:color="2E75B6" w:sz="14" w:space="8"/>
        </w:pBdr>
        <w:shd w:fill="EBF3FB" w:val="clear"/>
        <w:spacing w:before="120" w:after="120"/>
        <w:ind w:left="360" w:right="360"/>
      </w:pPr>
      <w:r>
        <w:rPr>
          <w:rFonts w:ascii="Arial" w:cs="Arial" w:eastAsia="Arial" w:hAnsi="Arial"/>
          <w:b/>
          <w:bCs/>
          <w:color w:val="2E75B6"/>
          <w:sz w:val="22"/>
          <w:szCs w:val="22"/>
        </w:rPr>
        <w:t xml:space="preserve">Typical rake size: </w:t>
      </w:r>
      <w:r>
        <w:rPr>
          <w:rFonts w:ascii="Arial" w:cs="Arial" w:eastAsia="Arial" w:hAnsi="Arial"/>
          <w:sz w:val="22"/>
          <w:szCs w:val="22"/>
        </w:rPr>
        <w:t xml:space="preserve">1 rake ≈ 3,800 – 4,200 MT  (standard Indian coal logistics)</w:t>
      </w:r>
    </w:p>
    <w:p>
      <w:pPr>
        <w:spacing w:before="80" w:after="80"/>
      </w:pPr>
      <w:r>
        <w:t xml:space="preserve"/>
      </w:r>
    </w:p>
    <w:p>
      <w:pPr>
        <w:spacing w:before="200" w:after="100"/>
      </w:pPr>
      <w:r>
        <w:rPr>
          <w:rFonts w:ascii="Arial" w:cs="Arial" w:eastAsia="Arial" w:hAnsi="Arial"/>
          <w:b/>
          <w:bCs/>
          <w:color w:val="2E4057"/>
          <w:sz w:val="24"/>
          <w:szCs w:val="24"/>
        </w:rPr>
        <w:t xml:space="preserve">ROP — Re-Order Point</w:t>
      </w:r>
    </w:p>
    <w:p>
      <w:pPr>
        <w:spacing w:before="80" w:after="80"/>
      </w:pPr>
      <w:r>
        <w:rPr>
          <w:rFonts w:ascii="Arial" w:cs="Arial" w:eastAsia="Arial" w:hAnsi="Arial"/>
          <w:sz w:val="22"/>
          <w:szCs w:val="22"/>
        </w:rPr>
        <w:t xml:space="preserve">The Re-Order Point is the stock level at which a new coal order must be placed immediately. When current stock falls to or below the ROP, the procurement team raises a new Rake Receipt order to ensure coal does not run out before the next delivery arrives.</w:t>
      </w:r>
    </w:p>
    <w:p>
      <w:pPr>
        <w:spacing w:before="80" w:after="80"/>
      </w:pPr>
      <w:r>
        <w:t xml:space="preserve"/>
      </w:r>
    </w:p>
    <w:p>
      <w:pPr>
        <w:pBdr>
          <w:left w:val="single" w:color="2E75B6" w:sz="14" w:space="8"/>
        </w:pBdr>
        <w:shd w:fill="EBF3FB" w:val="clear"/>
        <w:spacing w:before="120" w:after="120"/>
        <w:ind w:left="360" w:right="360"/>
      </w:pPr>
      <w:r>
        <w:rPr>
          <w:rFonts w:ascii="Arial" w:cs="Arial" w:eastAsia="Arial" w:hAnsi="Arial"/>
          <w:b/>
          <w:bCs/>
          <w:color w:val="2E75B6"/>
          <w:sz w:val="22"/>
          <w:szCs w:val="22"/>
        </w:rPr>
        <w:t xml:space="preserve">In plain terms: </w:t>
      </w:r>
      <w:r>
        <w:rPr>
          <w:rFonts w:ascii="Arial" w:cs="Arial" w:eastAsia="Arial" w:hAnsi="Arial"/>
          <w:sz w:val="22"/>
          <w:szCs w:val="22"/>
        </w:rPr>
        <w:t xml:space="preserve">The ROP algorithm monitors daily coal stock and automatically determines the minimum inventory level required to safely operate the power plant. When stock falls below this threshold, the system flags a reorder alert so deliveries can be scheduled before stock runs out.</w:t>
      </w:r>
    </w:p>
    <w:p>
      <w:pPr>
        <w:spacing w:before="80" w:after="80"/>
      </w:pPr>
      <w:r>
        <w:t xml:space="preserve"/>
      </w:r>
    </w:p>
    <w:p>
      <w:pPr>
        <w:pBdr>
          <w:bottom w:val="single" w:color="2E75B6" w:sz="4" w:space="1"/>
        </w:pBdr>
        <w:spacing w:before="120" w:after="120"/>
      </w:pPr>
      <w:r>
        <w:t xml:space="preserve"/>
      </w:r>
    </w:p>
    <w:p>
      <w:pPr>
        <w:pStyle w:val="Heading1"/>
        <w:spacing w:before="320" w:after="160"/>
      </w:pPr>
      <w:r>
        <w:rPr>
          <w:rFonts w:ascii="Arial" w:cs="Arial" w:eastAsia="Arial" w:hAnsi="Arial"/>
          <w:b/>
          <w:bCs/>
          <w:color w:val="1F4E79"/>
          <w:sz w:val="36"/>
          <w:szCs w:val="36"/>
        </w:rPr>
        <w:t xml:space="preserve">2. The Three Ingredients</w:t>
      </w:r>
    </w:p>
    <w:p>
      <w:pPr>
        <w:spacing w:before="80" w:after="80"/>
      </w:pPr>
      <w:r>
        <w:rPr>
          <w:rFonts w:ascii="Arial" w:cs="Arial" w:eastAsia="Arial" w:hAnsi="Arial"/>
          <w:sz w:val="22"/>
          <w:szCs w:val="22"/>
        </w:rPr>
        <w:t xml:space="preserve">The ROP formula needs exactly three inputs. All three are available in your merged coal dataset.</w:t>
      </w:r>
    </w:p>
    <w:p>
      <w:pPr>
        <w:spacing w:before="8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3760"/>
        <w:gridCol w:w="3600"/>
      </w:tblGrid>
      <w:tr>
        <w:tc>
          <w:tcPr>
            <w:tcW w:type="dxa" w:w="2000"/>
            <w:tcBorders>
              <w:top w:val="single" w:color="1F4E79" w:sz="1"/>
              <w:left w:val="single" w:color="1F4E79" w:sz="1"/>
              <w:bottom w:val="single" w:color="1F4E79" w:sz="1"/>
              <w:right w:val="single" w:color="1F4E79" w:sz="1"/>
            </w:tcBorders>
            <w:shd w:fill="1F4E79" w:val="clear"/>
            <w:tcMar>
              <w:top w:type="dxa" w:w="100"/>
              <w:left w:type="dxa" w:w="120"/>
              <w:bottom w:type="dxa" w:w="100"/>
              <w:right w:type="dxa" w:w="120"/>
            </w:tcMar>
          </w:tcPr>
          <w:p>
            <w:pPr>
              <w:jc w:val="center"/>
            </w:pPr>
            <w:r>
              <w:rPr>
                <w:rFonts w:ascii="Arial" w:cs="Arial" w:eastAsia="Arial" w:hAnsi="Arial"/>
                <w:b/>
                <w:bCs/>
                <w:color w:val="FFFFFF"/>
                <w:sz w:val="20"/>
                <w:szCs w:val="20"/>
              </w:rPr>
              <w:t xml:space="preserve">Ingredient</w:t>
            </w:r>
          </w:p>
        </w:tc>
        <w:tc>
          <w:tcPr>
            <w:tcW w:type="dxa" w:w="3760"/>
            <w:tcBorders>
              <w:top w:val="single" w:color="1F4E79" w:sz="1"/>
              <w:left w:val="single" w:color="1F4E79" w:sz="1"/>
              <w:bottom w:val="single" w:color="1F4E79" w:sz="1"/>
              <w:right w:val="single" w:color="1F4E79" w:sz="1"/>
            </w:tcBorders>
            <w:shd w:fill="1F4E79" w:val="clear"/>
            <w:tcMar>
              <w:top w:type="dxa" w:w="100"/>
              <w:left w:type="dxa" w:w="120"/>
              <w:bottom w:type="dxa" w:w="100"/>
              <w:right w:type="dxa" w:w="120"/>
            </w:tcMar>
          </w:tcPr>
          <w:p>
            <w:pPr>
              <w:jc w:val="center"/>
            </w:pPr>
            <w:r>
              <w:rPr>
                <w:rFonts w:ascii="Arial" w:cs="Arial" w:eastAsia="Arial" w:hAnsi="Arial"/>
                <w:b/>
                <w:bCs/>
                <w:color w:val="FFFFFF"/>
                <w:sz w:val="20"/>
                <w:szCs w:val="20"/>
              </w:rPr>
              <w:t xml:space="preserve">Meaning</w:t>
            </w:r>
          </w:p>
        </w:tc>
        <w:tc>
          <w:tcPr>
            <w:tcW w:type="dxa" w:w="3600"/>
            <w:tcBorders>
              <w:top w:val="single" w:color="1F4E79" w:sz="1"/>
              <w:left w:val="single" w:color="1F4E79" w:sz="1"/>
              <w:bottom w:val="single" w:color="1F4E79" w:sz="1"/>
              <w:right w:val="single" w:color="1F4E79" w:sz="1"/>
            </w:tcBorders>
            <w:shd w:fill="1F4E79" w:val="clear"/>
            <w:tcMar>
              <w:top w:type="dxa" w:w="100"/>
              <w:left w:type="dxa" w:w="120"/>
              <w:bottom w:type="dxa" w:w="100"/>
              <w:right w:type="dxa" w:w="120"/>
            </w:tcMar>
          </w:tcPr>
          <w:p>
            <w:pPr>
              <w:jc w:val="center"/>
            </w:pPr>
            <w:r>
              <w:rPr>
                <w:rFonts w:ascii="Arial" w:cs="Arial" w:eastAsia="Arial" w:hAnsi="Arial"/>
                <w:b/>
                <w:bCs/>
                <w:color w:val="FFFFFF"/>
                <w:sz w:val="20"/>
                <w:szCs w:val="20"/>
              </w:rPr>
              <w:t xml:space="preserve">Your data column</w:t>
            </w:r>
          </w:p>
        </w:tc>
      </w:tr>
      <w:tr>
        <w:tc>
          <w:tcPr>
            <w:tcW w:type="dxa" w:w="20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color w:val="000000"/>
                <w:sz w:val="20"/>
                <w:szCs w:val="20"/>
              </w:rPr>
              <w:t xml:space="preserve">Avg Daily Consumption (ADC)</w:t>
            </w:r>
          </w:p>
        </w:tc>
        <w:tc>
          <w:tcPr>
            <w:tcW w:type="dxa" w:w="376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val="false"/>
                <w:bCs w:val="false"/>
                <w:color w:val="000000"/>
                <w:sz w:val="20"/>
                <w:szCs w:val="20"/>
              </w:rPr>
              <w:t xml:space="preserve">Mean of daily coal burnt at the plant</w:t>
            </w:r>
          </w:p>
        </w:tc>
        <w:tc>
          <w:tcPr>
            <w:tcW w:type="dxa" w:w="36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val="false"/>
                <w:bCs w:val="false"/>
                <w:color w:val="000000"/>
                <w:sz w:val="20"/>
                <w:szCs w:val="20"/>
              </w:rPr>
              <w:t xml:space="preserve">Consumption (MT)</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000000"/>
                <w:sz w:val="20"/>
                <w:szCs w:val="20"/>
              </w:rPr>
              <w:t xml:space="preserve">Lead Time (days)</w:t>
            </w:r>
          </w:p>
        </w:tc>
        <w:tc>
          <w:tcPr>
            <w:tcW w:type="dxa" w:w="3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Avg days from order placement to rake arrival</w:t>
            </w:r>
          </w:p>
        </w:tc>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rr_date − entry_dt  (procurement file)</w:t>
            </w:r>
          </w:p>
        </w:tc>
      </w:tr>
      <w:tr>
        <w:tc>
          <w:tcPr>
            <w:tcW w:type="dxa" w:w="20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color w:val="000000"/>
                <w:sz w:val="20"/>
                <w:szCs w:val="20"/>
              </w:rPr>
              <w:t xml:space="preserve">Safety Stock</w:t>
            </w:r>
          </w:p>
        </w:tc>
        <w:tc>
          <w:tcPr>
            <w:tcW w:type="dxa" w:w="376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val="false"/>
                <w:bCs w:val="false"/>
                <w:color w:val="000000"/>
                <w:sz w:val="20"/>
                <w:szCs w:val="20"/>
              </w:rPr>
              <w:t xml:space="preserve">Buffer to absorb demand and lead time variation</w:t>
            </w:r>
          </w:p>
        </w:tc>
        <w:tc>
          <w:tcPr>
            <w:tcW w:type="dxa" w:w="36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val="false"/>
                <w:bCs w:val="false"/>
                <w:color w:val="000000"/>
                <w:sz w:val="20"/>
                <w:szCs w:val="20"/>
              </w:rPr>
              <w:t xml:space="preserve">Calculated from std dev of Consumption (MT)</w:t>
            </w:r>
          </w:p>
        </w:tc>
      </w:tr>
    </w:tbl>
    <w:p>
      <w:pPr>
        <w:spacing w:before="80" w:after="80"/>
      </w:pPr>
      <w:r>
        <w:t xml:space="preserve"/>
      </w:r>
    </w:p>
    <w:p>
      <w:pPr>
        <w:pBdr>
          <w:bottom w:val="single" w:color="2E75B6" w:sz="4" w:space="1"/>
        </w:pBdr>
        <w:spacing w:before="120" w:after="120"/>
      </w:pPr>
      <w:r>
        <w:t xml:space="preserve"/>
      </w:r>
    </w:p>
    <w:p>
      <w:pPr>
        <w:pStyle w:val="Heading1"/>
        <w:spacing w:before="320" w:after="160"/>
      </w:pPr>
      <w:r>
        <w:rPr>
          <w:rFonts w:ascii="Arial" w:cs="Arial" w:eastAsia="Arial" w:hAnsi="Arial"/>
          <w:b/>
          <w:bCs/>
          <w:color w:val="1F4E79"/>
          <w:sz w:val="36"/>
          <w:szCs w:val="36"/>
        </w:rPr>
        <w:t xml:space="preserve">3. Formulae</w:t>
      </w:r>
    </w:p>
    <w:p>
      <w:pPr>
        <w:pStyle w:val="Heading2"/>
        <w:spacing w:before="240" w:after="120"/>
      </w:pPr>
      <w:r>
        <w:rPr>
          <w:rFonts w:ascii="Arial" w:cs="Arial" w:eastAsia="Arial" w:hAnsi="Arial"/>
          <w:b/>
          <w:bCs/>
          <w:color w:val="2E75B6"/>
          <w:sz w:val="28"/>
          <w:szCs w:val="28"/>
        </w:rPr>
        <w:t xml:space="preserve">3.1  Average Daily Consumption (ADC)</w:t>
      </w:r>
    </w:p>
    <w:p>
      <w:pPr>
        <w:spacing w:before="8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4560"/>
        <w:gridCol w:w="2600"/>
      </w:tblGrid>
      <w:tr>
        <w:tc>
          <w:tcPr>
            <w:tcW w:type="dxa" w:w="2200"/>
            <w:tcBorders>
              <w:top w:val="single" w:color="1F4E79" w:sz="1"/>
              <w:left w:val="single" w:color="1F4E79" w:sz="1"/>
              <w:bottom w:val="single" w:color="1F4E79" w:sz="1"/>
              <w:right w:val="single" w:color="1F4E79" w:sz="1"/>
            </w:tcBorders>
            <w:shd w:fill="2E75B6" w:val="clear"/>
            <w:tcMar>
              <w:top w:type="dxa" w:w="100"/>
              <w:left w:type="dxa" w:w="120"/>
              <w:bottom w:type="dxa" w:w="100"/>
              <w:right w:type="dxa" w:w="120"/>
            </w:tcMar>
          </w:tcPr>
          <w:p>
            <w:r>
              <w:rPr>
                <w:rFonts w:ascii="Arial" w:cs="Arial" w:eastAsia="Arial" w:hAnsi="Arial"/>
                <w:b/>
                <w:bCs/>
                <w:color w:val="FFFFFF"/>
                <w:sz w:val="20"/>
                <w:szCs w:val="20"/>
              </w:rPr>
              <w:t xml:space="preserve">ADC</w:t>
            </w:r>
          </w:p>
        </w:tc>
        <w:tc>
          <w:tcPr>
            <w:tcW w:type="dxa" w:w="4560"/>
            <w:tcBorders>
              <w:top w:val="single" w:color="CCCCCC" w:sz="1"/>
              <w:left w:val="single" w:color="CCCCCC" w:sz="1"/>
              <w:bottom w:val="single" w:color="CCCCCC" w:sz="1"/>
              <w:right w:val="single" w:color="CCCCCC" w:sz="1"/>
            </w:tcBorders>
            <w:shd w:fill="EBF3FB" w:val="clear"/>
            <w:tcMar>
              <w:top w:type="dxa" w:w="100"/>
              <w:left w:type="dxa" w:w="120"/>
              <w:bottom w:type="dxa" w:w="100"/>
              <w:right w:type="dxa" w:w="120"/>
            </w:tcMar>
          </w:tcPr>
          <w:p>
            <w:r>
              <w:rPr>
                <w:rFonts w:ascii="Courier New" w:cs="Courier New" w:eastAsia="Courier New" w:hAnsi="Courier New"/>
                <w:color w:val="C0392B"/>
                <w:sz w:val="20"/>
                <w:szCs w:val="20"/>
              </w:rPr>
              <w:t xml:space="preserve">ADC  =  Total Consumption  ÷  Number of Days</w:t>
            </w:r>
          </w:p>
        </w:tc>
        <w:tc>
          <w:tcPr>
            <w:tcW w:type="dxa" w:w="2600"/>
            <w:tcBorders>
              <w:top w:val="single" w:color="CCCCCC" w:sz="1"/>
              <w:left w:val="single" w:color="CCCCCC" w:sz="1"/>
              <w:bottom w:val="single" w:color="CCCCCC" w:sz="1"/>
              <w:right w:val="single" w:color="CCCCCC" w:sz="1"/>
            </w:tcBorders>
            <w:shd w:fill="D5F5E3" w:val="clear"/>
            <w:tcMar>
              <w:top w:type="dxa" w:w="100"/>
              <w:left w:type="dxa" w:w="120"/>
              <w:bottom w:type="dxa" w:w="100"/>
              <w:right w:type="dxa" w:w="120"/>
            </w:tcMar>
          </w:tcPr>
          <w:p>
            <w:r>
              <w:rPr>
                <w:rFonts w:ascii="Arial" w:cs="Arial" w:eastAsia="Arial" w:hAnsi="Arial"/>
                <w:b/>
                <w:bCs/>
                <w:color w:val="1E8449"/>
                <w:sz w:val="20"/>
                <w:szCs w:val="20"/>
              </w:rPr>
              <w:t xml:space="preserve">Mean of column</w:t>
            </w:r>
          </w:p>
        </w:tc>
      </w:tr>
    </w:tbl>
    <w:p>
      <w:pPr>
        <w:spacing w:before="80" w:after="80"/>
      </w:pPr>
      <w:r>
        <w:t xml:space="preserve"/>
      </w:r>
    </w:p>
    <w:p>
      <w:pPr>
        <w:pStyle w:val="Heading2"/>
        <w:spacing w:before="240" w:after="120"/>
      </w:pPr>
      <w:r>
        <w:rPr>
          <w:rFonts w:ascii="Arial" w:cs="Arial" w:eastAsia="Arial" w:hAnsi="Arial"/>
          <w:b/>
          <w:bCs/>
          <w:color w:val="2E75B6"/>
          <w:sz w:val="28"/>
          <w:szCs w:val="28"/>
        </w:rPr>
        <w:t xml:space="preserve">3.2  Lead Time</w:t>
      </w:r>
    </w:p>
    <w:p>
      <w:pPr>
        <w:spacing w:before="80" w:after="80"/>
      </w:pPr>
      <w:r>
        <w:rPr>
          <w:rFonts w:ascii="Arial" w:cs="Arial" w:eastAsia="Arial" w:hAnsi="Arial"/>
          <w:b/>
          <w:bCs/>
          <w:color w:val="C0392B"/>
          <w:sz w:val="22"/>
          <w:szCs w:val="22"/>
        </w:rPr>
        <w:t xml:space="preserve">Corrected definition: </w:t>
      </w:r>
      <w:r>
        <w:rPr>
          <w:rFonts w:ascii="Arial" w:cs="Arial" w:eastAsia="Arial" w:hAnsi="Arial"/>
          <w:sz w:val="22"/>
          <w:szCs w:val="22"/>
        </w:rPr>
        <w:t xml:space="preserve">Lead Time = average number of days between order placement and rake arrival at the plant.</w:t>
      </w:r>
    </w:p>
    <w:p>
      <w:pPr>
        <w:spacing w:before="80" w:after="80"/>
      </w:pPr>
      <w:r>
        <w:rPr>
          <w:rFonts w:ascii="Arial" w:cs="Arial" w:eastAsia="Arial" w:hAnsi="Arial"/>
          <w:sz w:val="22"/>
          <w:szCs w:val="22"/>
        </w:rPr>
        <w:t xml:space="preserve">Two approaches are available:</w:t>
      </w:r>
    </w:p>
    <w:p>
      <w:pPr>
        <w:pStyle w:val="ListParagraph"/>
        <w:numPr>
          <w:ilvl w:val="0"/>
          <w:numId w:val="2"/>
        </w:numPr>
        <w:spacing w:before="60" w:after="60"/>
      </w:pPr>
      <w:r>
        <w:rPr>
          <w:rFonts w:ascii="Arial" w:cs="Arial" w:eastAsia="Arial" w:hAnsi="Arial"/>
          <w:b w:val="false"/>
          <w:bCs w:val="false"/>
          <w:sz w:val="22"/>
          <w:szCs w:val="22"/>
        </w:rPr>
        <w:t xml:space="preserve">Fixed assumption:  LEAD_TIME_DAYS = 7  (simple, use when lead time is consistent)</w:t>
      </w:r>
    </w:p>
    <w:p>
      <w:pPr>
        <w:pStyle w:val="ListParagraph"/>
        <w:numPr>
          <w:ilvl w:val="0"/>
          <w:numId w:val="2"/>
        </w:numPr>
        <w:spacing w:before="60" w:after="60"/>
      </w:pPr>
      <w:r>
        <w:rPr>
          <w:rFonts w:ascii="Arial" w:cs="Arial" w:eastAsia="Arial" w:hAnsi="Arial"/>
          <w:b w:val="false"/>
          <w:bCs w:val="false"/>
          <w:sz w:val="22"/>
          <w:szCs w:val="22"/>
        </w:rPr>
        <w:t xml:space="preserve">Dynamic from data:  lead_time = avg(rr_date − entry_dt)  (more accurate, computes per-plant)</w:t>
      </w:r>
    </w:p>
    <w:p>
      <w:pPr>
        <w:pBdr>
          <w:left w:val="single" w:color="E67E22" w:sz="14" w:space="8"/>
        </w:pBdr>
        <w:shd w:fill="FFF9E6" w:val="clear"/>
        <w:spacing w:before="120" w:after="120"/>
        <w:ind w:left="360" w:right="360"/>
      </w:pPr>
      <w:r>
        <w:rPr>
          <w:rFonts w:ascii="Arial" w:cs="Arial" w:eastAsia="Arial" w:hAnsi="Arial"/>
          <w:b/>
          <w:bCs/>
          <w:color w:val="E67E22"/>
          <w:sz w:val="22"/>
          <w:szCs w:val="22"/>
        </w:rPr>
        <w:t xml:space="preserve">Note: </w:t>
      </w:r>
      <w:r>
        <w:rPr>
          <w:rFonts w:ascii="Arial" w:cs="Arial" w:eastAsia="Arial" w:hAnsi="Arial"/>
          <w:sz w:val="22"/>
          <w:szCs w:val="22"/>
        </w:rPr>
        <w:t xml:space="preserve">If entry_dt is the order placement date and rr_date is the rake receipt date, the gap between them is the true lead time. The Python code includes both options — see Section 5.</w:t>
      </w:r>
    </w:p>
    <w:p>
      <w:pPr>
        <w:spacing w:before="80" w:after="80"/>
      </w:pPr>
      <w:r>
        <w:t xml:space="preserve"/>
      </w:r>
    </w:p>
    <w:p>
      <w:pPr>
        <w:pStyle w:val="Heading2"/>
        <w:spacing w:before="240" w:after="120"/>
      </w:pPr>
      <w:r>
        <w:rPr>
          <w:rFonts w:ascii="Arial" w:cs="Arial" w:eastAsia="Arial" w:hAnsi="Arial"/>
          <w:b/>
          <w:bCs/>
          <w:color w:val="2E75B6"/>
          <w:sz w:val="28"/>
          <w:szCs w:val="28"/>
        </w:rPr>
        <w:t xml:space="preserve">3.3  Safety Stock</w:t>
      </w:r>
    </w:p>
    <w:p>
      <w:pPr>
        <w:spacing w:before="200" w:after="100"/>
      </w:pPr>
      <w:r>
        <w:rPr>
          <w:rFonts w:ascii="Arial" w:cs="Arial" w:eastAsia="Arial" w:hAnsi="Arial"/>
          <w:b/>
          <w:bCs/>
          <w:color w:val="2E4057"/>
          <w:sz w:val="24"/>
          <w:szCs w:val="24"/>
        </w:rPr>
        <w:t xml:space="preserve">Simple approach</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1F4E79" w:sz="1"/>
              <w:left w:val="single" w:color="1F4E79" w:sz="1"/>
              <w:bottom w:val="single" w:color="1F4E79" w:sz="1"/>
              <w:right w:val="single" w:color="1F4E79" w:sz="1"/>
            </w:tcBorders>
            <w:shd w:fill="2E75B6" w:val="clear"/>
            <w:tcMar>
              <w:top w:type="dxa" w:w="100"/>
              <w:left w:type="dxa" w:w="120"/>
              <w:bottom w:type="dxa" w:w="100"/>
              <w:right w:type="dxa" w:w="120"/>
            </w:tcMar>
          </w:tcPr>
          <w:p>
            <w:r>
              <w:rPr>
                <w:rFonts w:ascii="Arial" w:cs="Arial" w:eastAsia="Arial" w:hAnsi="Arial"/>
                <w:b/>
                <w:bCs/>
                <w:color w:val="FFFFFF"/>
                <w:sz w:val="20"/>
                <w:szCs w:val="20"/>
              </w:rPr>
              <w:t xml:space="preserve">Simple</w:t>
            </w:r>
          </w:p>
        </w:tc>
        <w:tc>
          <w:tcPr>
            <w:tcW w:type="dxa" w:w="7160"/>
            <w:tcBorders>
              <w:top w:val="single" w:color="CCCCCC" w:sz="1"/>
              <w:left w:val="single" w:color="CCCCCC" w:sz="1"/>
              <w:bottom w:val="single" w:color="CCCCCC" w:sz="1"/>
              <w:right w:val="single" w:color="CCCCCC" w:sz="1"/>
            </w:tcBorders>
            <w:shd w:fill="EBF3FB" w:val="clear"/>
            <w:tcMar>
              <w:top w:type="dxa" w:w="100"/>
              <w:left w:type="dxa" w:w="120"/>
              <w:bottom w:type="dxa" w:w="100"/>
              <w:right w:type="dxa" w:w="120"/>
            </w:tcMar>
          </w:tcPr>
          <w:p>
            <w:r>
              <w:rPr>
                <w:rFonts w:ascii="Courier New" w:cs="Courier New" w:eastAsia="Courier New" w:hAnsi="Courier New"/>
                <w:color w:val="C0392B"/>
                <w:sz w:val="20"/>
                <w:szCs w:val="20"/>
              </w:rPr>
              <w:t xml:space="preserve">(Max Consumption − Avg Consumption) × Max Lead Time</w:t>
            </w:r>
          </w:p>
        </w:tc>
      </w:tr>
    </w:tbl>
    <w:p>
      <w:pPr>
        <w:spacing w:before="80" w:after="80"/>
      </w:pPr>
      <w:r>
        <w:t xml:space="preserve"/>
      </w:r>
    </w:p>
    <w:p>
      <w:pPr>
        <w:spacing w:before="200" w:after="100"/>
      </w:pPr>
      <w:r>
        <w:rPr>
          <w:rFonts w:ascii="Arial" w:cs="Arial" w:eastAsia="Arial" w:hAnsi="Arial"/>
          <w:b/>
          <w:bCs/>
          <w:color w:val="2E4057"/>
          <w:sz w:val="24"/>
          <w:szCs w:val="24"/>
        </w:rPr>
        <w:t xml:space="preserve">Statistical approach (used in Python code)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1F4E79" w:sz="1"/>
              <w:left w:val="single" w:color="1F4E79" w:sz="1"/>
              <w:bottom w:val="single" w:color="1F4E79" w:sz="1"/>
              <w:right w:val="single" w:color="1F4E79" w:sz="1"/>
            </w:tcBorders>
            <w:shd w:fill="2E75B6" w:val="clear"/>
            <w:tcMar>
              <w:top w:type="dxa" w:w="100"/>
              <w:left w:type="dxa" w:w="120"/>
              <w:bottom w:type="dxa" w:w="100"/>
              <w:right w:type="dxa" w:w="120"/>
            </w:tcMar>
          </w:tcPr>
          <w:p>
            <w:r>
              <w:rPr>
                <w:rFonts w:ascii="Arial" w:cs="Arial" w:eastAsia="Arial" w:hAnsi="Arial"/>
                <w:b/>
                <w:bCs/>
                <w:color w:val="FFFFFF"/>
                <w:sz w:val="20"/>
                <w:szCs w:val="20"/>
              </w:rPr>
              <w:t xml:space="preserve">Statistical</w:t>
            </w:r>
          </w:p>
        </w:tc>
        <w:tc>
          <w:tcPr>
            <w:tcW w:type="dxa" w:w="7160"/>
            <w:tcBorders>
              <w:top w:val="single" w:color="CCCCCC" w:sz="1"/>
              <w:left w:val="single" w:color="CCCCCC" w:sz="1"/>
              <w:bottom w:val="single" w:color="CCCCCC" w:sz="1"/>
              <w:right w:val="single" w:color="CCCCCC" w:sz="1"/>
            </w:tcBorders>
            <w:shd w:fill="EBF3FB" w:val="clear"/>
            <w:tcMar>
              <w:top w:type="dxa" w:w="100"/>
              <w:left w:type="dxa" w:w="120"/>
              <w:bottom w:type="dxa" w:w="100"/>
              <w:right w:type="dxa" w:w="120"/>
            </w:tcMar>
          </w:tcPr>
          <w:p>
            <w:r>
              <w:rPr>
                <w:rFonts w:ascii="Courier New" w:cs="Courier New" w:eastAsia="Courier New" w:hAnsi="Courier New"/>
                <w:color w:val="C0392B"/>
                <w:sz w:val="20"/>
                <w:szCs w:val="20"/>
              </w:rPr>
              <w:t xml:space="preserve">Safety Stock  =  Z  ×  σ  ×  √(Lead Time)</w:t>
            </w:r>
          </w:p>
        </w:tc>
      </w:tr>
    </w:tbl>
    <w:p>
      <w:pPr>
        <w:spacing w:before="8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2800"/>
        <w:gridCol w:w="5160"/>
      </w:tblGrid>
      <w:tr>
        <w:tc>
          <w:tcPr>
            <w:tcW w:type="dxa" w:w="1400"/>
            <w:tcBorders>
              <w:top w:val="single" w:color="1F4E79" w:sz="1"/>
              <w:left w:val="single" w:color="1F4E79" w:sz="1"/>
              <w:bottom w:val="single" w:color="1F4E79" w:sz="1"/>
              <w:right w:val="single" w:color="1F4E79" w:sz="1"/>
            </w:tcBorders>
            <w:shd w:fill="1F4E79" w:val="clear"/>
            <w:tcMar>
              <w:top w:type="dxa" w:w="100"/>
              <w:left w:type="dxa" w:w="120"/>
              <w:bottom w:type="dxa" w:w="100"/>
              <w:right w:type="dxa" w:w="120"/>
            </w:tcMar>
          </w:tcPr>
          <w:p>
            <w:pPr>
              <w:jc w:val="center"/>
            </w:pPr>
            <w:r>
              <w:rPr>
                <w:rFonts w:ascii="Arial" w:cs="Arial" w:eastAsia="Arial" w:hAnsi="Arial"/>
                <w:b/>
                <w:bCs/>
                <w:color w:val="FFFFFF"/>
                <w:sz w:val="20"/>
                <w:szCs w:val="20"/>
              </w:rPr>
              <w:t xml:space="preserve">Symbol</w:t>
            </w:r>
          </w:p>
        </w:tc>
        <w:tc>
          <w:tcPr>
            <w:tcW w:type="dxa" w:w="2800"/>
            <w:tcBorders>
              <w:top w:val="single" w:color="1F4E79" w:sz="1"/>
              <w:left w:val="single" w:color="1F4E79" w:sz="1"/>
              <w:bottom w:val="single" w:color="1F4E79" w:sz="1"/>
              <w:right w:val="single" w:color="1F4E79" w:sz="1"/>
            </w:tcBorders>
            <w:shd w:fill="1F4E79" w:val="clear"/>
            <w:tcMar>
              <w:top w:type="dxa" w:w="100"/>
              <w:left w:type="dxa" w:w="120"/>
              <w:bottom w:type="dxa" w:w="100"/>
              <w:right w:type="dxa" w:w="120"/>
            </w:tcMar>
          </w:tcPr>
          <w:p>
            <w:pPr>
              <w:jc w:val="center"/>
            </w:pPr>
            <w:r>
              <w:rPr>
                <w:rFonts w:ascii="Arial" w:cs="Arial" w:eastAsia="Arial" w:hAnsi="Arial"/>
                <w:b/>
                <w:bCs/>
                <w:color w:val="FFFFFF"/>
                <w:sz w:val="20"/>
                <w:szCs w:val="20"/>
              </w:rPr>
              <w:t xml:space="preserve">Meaning</w:t>
            </w:r>
          </w:p>
        </w:tc>
        <w:tc>
          <w:tcPr>
            <w:tcW w:type="dxa" w:w="5160"/>
            <w:tcBorders>
              <w:top w:val="single" w:color="1F4E79" w:sz="1"/>
              <w:left w:val="single" w:color="1F4E79" w:sz="1"/>
              <w:bottom w:val="single" w:color="1F4E79" w:sz="1"/>
              <w:right w:val="single" w:color="1F4E79" w:sz="1"/>
            </w:tcBorders>
            <w:shd w:fill="1F4E79" w:val="clear"/>
            <w:tcMar>
              <w:top w:type="dxa" w:w="100"/>
              <w:left w:type="dxa" w:w="120"/>
              <w:bottom w:type="dxa" w:w="100"/>
              <w:right w:type="dxa" w:w="120"/>
            </w:tcMar>
          </w:tcPr>
          <w:p>
            <w:pPr>
              <w:jc w:val="center"/>
            </w:pPr>
            <w:r>
              <w:rPr>
                <w:rFonts w:ascii="Arial" w:cs="Arial" w:eastAsia="Arial" w:hAnsi="Arial"/>
                <w:b/>
                <w:bCs/>
                <w:color w:val="FFFFFF"/>
                <w:sz w:val="20"/>
                <w:szCs w:val="20"/>
              </w:rPr>
              <w:t xml:space="preserve">Value</w:t>
            </w:r>
          </w:p>
        </w:tc>
      </w:tr>
      <w:tr>
        <w:tc>
          <w:tcPr>
            <w:tcW w:type="dxa" w:w="14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color w:val="000000"/>
                <w:sz w:val="20"/>
                <w:szCs w:val="20"/>
              </w:rPr>
              <w:t xml:space="preserve">Z</w:t>
            </w:r>
          </w:p>
        </w:tc>
        <w:tc>
          <w:tcPr>
            <w:tcW w:type="dxa" w:w="28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val="false"/>
                <w:bCs w:val="false"/>
                <w:color w:val="000000"/>
                <w:sz w:val="20"/>
                <w:szCs w:val="20"/>
              </w:rPr>
              <w:t xml:space="preserve">Service level factor</w:t>
            </w:r>
          </w:p>
        </w:tc>
        <w:tc>
          <w:tcPr>
            <w:tcW w:type="dxa" w:w="516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val="false"/>
                <w:bCs w:val="false"/>
                <w:color w:val="000000"/>
                <w:sz w:val="20"/>
                <w:szCs w:val="20"/>
              </w:rPr>
              <w:t xml:space="preserve">1.645 for 95%  |  2.326 for 99% (critical plants)</w:t>
            </w:r>
          </w:p>
        </w:tc>
      </w:tr>
      <w:tr>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000000"/>
                <w:sz w:val="20"/>
                <w:szCs w:val="20"/>
              </w:rPr>
              <w:t xml:space="preserve">σ</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Std deviation of daily consumption</w:t>
            </w:r>
          </w:p>
        </w:tc>
        <w:tc>
          <w:tcPr>
            <w:tcW w:type="dxa" w:w="5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Computed from Consumption (MT) column</w:t>
            </w:r>
          </w:p>
        </w:tc>
      </w:tr>
      <w:tr>
        <w:tc>
          <w:tcPr>
            <w:tcW w:type="dxa" w:w="14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color w:val="000000"/>
                <w:sz w:val="20"/>
                <w:szCs w:val="20"/>
              </w:rPr>
              <w:t xml:space="preserve">√LT</w:t>
            </w:r>
          </w:p>
        </w:tc>
        <w:tc>
          <w:tcPr>
            <w:tcW w:type="dxa" w:w="28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val="false"/>
                <w:bCs w:val="false"/>
                <w:color w:val="000000"/>
                <w:sz w:val="20"/>
                <w:szCs w:val="20"/>
              </w:rPr>
              <w:t xml:space="preserve">Square root of lead time</w:t>
            </w:r>
          </w:p>
        </w:tc>
        <w:tc>
          <w:tcPr>
            <w:tcW w:type="dxa" w:w="516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val="false"/>
                <w:bCs w:val="false"/>
                <w:color w:val="000000"/>
                <w:sz w:val="20"/>
                <w:szCs w:val="20"/>
              </w:rPr>
              <w:t xml:space="preserve">√7 = 2.646 for 7-day lead time</w:t>
            </w:r>
          </w:p>
        </w:tc>
      </w:tr>
    </w:tbl>
    <w:p>
      <w:pPr>
        <w:spacing w:before="80" w:after="80"/>
      </w:pPr>
      <w:r>
        <w:t xml:space="preserve"/>
      </w:r>
    </w:p>
    <w:p>
      <w:pPr>
        <w:pBdr>
          <w:bottom w:val="single" w:color="2E75B6" w:sz="4" w:space="1"/>
        </w:pBdr>
        <w:spacing w:before="120" w:after="120"/>
      </w:pPr>
      <w:r>
        <w:t xml:space="preserve"/>
      </w:r>
    </w:p>
    <w:p>
      <w:pPr>
        <w:pStyle w:val="Heading2"/>
        <w:spacing w:before="240" w:after="120"/>
      </w:pPr>
      <w:r>
        <w:rPr>
          <w:rFonts w:ascii="Arial" w:cs="Arial" w:eastAsia="Arial" w:hAnsi="Arial"/>
          <w:b/>
          <w:bCs/>
          <w:color w:val="2E75B6"/>
          <w:sz w:val="28"/>
          <w:szCs w:val="28"/>
        </w:rPr>
        <w:t xml:space="preserve">3.4  Re-Order Point — Master Formula</w:t>
      </w:r>
    </w:p>
    <w:p>
      <w:pPr>
        <w:spacing w:before="8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F4E79" w:sz="1"/>
              <w:left w:val="single" w:color="1F4E79" w:sz="1"/>
              <w:bottom w:val="single" w:color="1F4E79" w:sz="1"/>
              <w:right w:val="single" w:color="1F4E79" w:sz="1"/>
            </w:tcBorders>
            <w:shd w:fill="1F4E79" w:val="clear"/>
            <w:tcMar>
              <w:top w:type="dxa" w:w="160"/>
              <w:left w:type="dxa" w:w="240"/>
              <w:bottom w:type="dxa" w:w="160"/>
              <w:right w:type="dxa" w:w="240"/>
            </w:tcMar>
          </w:tcPr>
          <w:p>
            <w:pPr>
              <w:jc w:val="center"/>
            </w:pPr>
            <w:r>
              <w:rPr>
                <w:rFonts w:ascii="Courier New" w:cs="Courier New" w:eastAsia="Courier New" w:hAnsi="Courier New"/>
                <w:b/>
                <w:bCs/>
                <w:color w:val="FFFFFF"/>
                <w:sz w:val="26"/>
                <w:szCs w:val="26"/>
              </w:rPr>
              <w:t xml:space="preserve">ROP  =  ( ADC  ×  Lead Time )  +  Safety Stock</w:t>
            </w:r>
          </w:p>
        </w:tc>
      </w:tr>
      <w:tr>
        <w:tc>
          <w:tcPr>
            <w:tcW w:type="dxa" w:w="9360"/>
            <w:tcBorders>
              <w:top w:val="single" w:color="CCCCCC" w:sz="1"/>
              <w:left w:val="single" w:color="CCCCCC" w:sz="1"/>
              <w:bottom w:val="single" w:color="CCCCCC" w:sz="1"/>
              <w:right w:val="single" w:color="CCCCCC" w:sz="1"/>
            </w:tcBorders>
            <w:shd w:fill="EBF3FB" w:val="clear"/>
            <w:tcMar>
              <w:top w:type="dxa" w:w="100"/>
              <w:left w:type="dxa" w:w="240"/>
              <w:bottom w:type="dxa" w:w="100"/>
              <w:right w:type="dxa" w:w="240"/>
            </w:tcMar>
          </w:tcPr>
          <w:p>
            <w:pPr>
              <w:jc w:val="center"/>
            </w:pPr>
            <w:r>
              <w:rPr>
                <w:rFonts w:ascii="Arial" w:cs="Arial" w:eastAsia="Arial" w:hAnsi="Arial"/>
                <w:b/>
                <w:bCs/>
                <w:color w:val="C0392B"/>
                <w:sz w:val="21"/>
                <w:szCs w:val="21"/>
              </w:rPr>
              <w:t xml:space="preserve">When current stock ≤ ROP  →  Place new order immediately</w:t>
            </w:r>
          </w:p>
        </w:tc>
      </w:tr>
    </w:tbl>
    <w:p>
      <w:pPr>
        <w:spacing w:before="80" w:after="80"/>
      </w:pPr>
      <w:r>
        <w:t xml:space="preserve"/>
      </w:r>
    </w:p>
    <w:p>
      <w:pPr>
        <w:spacing w:before="200" w:after="100"/>
      </w:pPr>
      <w:r>
        <w:rPr>
          <w:rFonts w:ascii="Arial" w:cs="Arial" w:eastAsia="Arial" w:hAnsi="Arial"/>
          <w:b/>
          <w:bCs/>
          <w:color w:val="2E4057"/>
          <w:sz w:val="24"/>
          <w:szCs w:val="24"/>
        </w:rPr>
        <w:t xml:space="preserve">Worked Example — Real Data (Barh Plant)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500"/>
        <w:gridCol w:w="2860"/>
        <w:gridCol w:w="3000"/>
      </w:tblGrid>
      <w:tr>
        <w:tc>
          <w:tcPr>
            <w:tcW w:type="dxa" w:w="3500"/>
            <w:tcBorders>
              <w:top w:val="single" w:color="1F4E79" w:sz="1"/>
              <w:left w:val="single" w:color="1F4E79" w:sz="1"/>
              <w:bottom w:val="single" w:color="1F4E79" w:sz="1"/>
              <w:right w:val="single" w:color="1F4E79" w:sz="1"/>
            </w:tcBorders>
            <w:shd w:fill="1F4E79" w:val="clear"/>
            <w:tcMar>
              <w:top w:type="dxa" w:w="100"/>
              <w:left w:type="dxa" w:w="120"/>
              <w:bottom w:type="dxa" w:w="100"/>
              <w:right w:type="dxa" w:w="120"/>
            </w:tcMar>
          </w:tcPr>
          <w:p>
            <w:pPr>
              <w:jc w:val="center"/>
            </w:pPr>
            <w:r>
              <w:rPr>
                <w:rFonts w:ascii="Arial" w:cs="Arial" w:eastAsia="Arial" w:hAnsi="Arial"/>
                <w:b/>
                <w:bCs/>
                <w:color w:val="FFFFFF"/>
                <w:sz w:val="20"/>
                <w:szCs w:val="20"/>
              </w:rPr>
              <w:t xml:space="preserve">Step</w:t>
            </w:r>
          </w:p>
        </w:tc>
        <w:tc>
          <w:tcPr>
            <w:tcW w:type="dxa" w:w="2860"/>
            <w:tcBorders>
              <w:top w:val="single" w:color="1F4E79" w:sz="1"/>
              <w:left w:val="single" w:color="1F4E79" w:sz="1"/>
              <w:bottom w:val="single" w:color="1F4E79" w:sz="1"/>
              <w:right w:val="single" w:color="1F4E79" w:sz="1"/>
            </w:tcBorders>
            <w:shd w:fill="1F4E79" w:val="clear"/>
            <w:tcMar>
              <w:top w:type="dxa" w:w="100"/>
              <w:left w:type="dxa" w:w="120"/>
              <w:bottom w:type="dxa" w:w="100"/>
              <w:right w:type="dxa" w:w="120"/>
            </w:tcMar>
          </w:tcPr>
          <w:p>
            <w:pPr>
              <w:jc w:val="center"/>
            </w:pPr>
            <w:r>
              <w:rPr>
                <w:rFonts w:ascii="Arial" w:cs="Arial" w:eastAsia="Arial" w:hAnsi="Arial"/>
                <w:b/>
                <w:bCs/>
                <w:color w:val="FFFFFF"/>
                <w:sz w:val="20"/>
                <w:szCs w:val="20"/>
              </w:rPr>
              <w:t xml:space="preserve">Calculation</w:t>
            </w:r>
          </w:p>
        </w:tc>
        <w:tc>
          <w:tcPr>
            <w:tcW w:type="dxa" w:w="3000"/>
            <w:tcBorders>
              <w:top w:val="single" w:color="1F4E79" w:sz="1"/>
              <w:left w:val="single" w:color="1F4E79" w:sz="1"/>
              <w:bottom w:val="single" w:color="1F4E79" w:sz="1"/>
              <w:right w:val="single" w:color="1F4E79" w:sz="1"/>
            </w:tcBorders>
            <w:shd w:fill="1F4E79" w:val="clear"/>
            <w:tcMar>
              <w:top w:type="dxa" w:w="100"/>
              <w:left w:type="dxa" w:w="120"/>
              <w:bottom w:type="dxa" w:w="100"/>
              <w:right w:type="dxa" w:w="120"/>
            </w:tcMar>
          </w:tcPr>
          <w:p>
            <w:pPr>
              <w:jc w:val="center"/>
            </w:pPr>
            <w:r>
              <w:rPr>
                <w:rFonts w:ascii="Arial" w:cs="Arial" w:eastAsia="Arial" w:hAnsi="Arial"/>
                <w:b/>
                <w:bCs/>
                <w:color w:val="FFFFFF"/>
                <w:sz w:val="20"/>
                <w:szCs w:val="20"/>
              </w:rPr>
              <w:t xml:space="preserve">Value (from your data)</w:t>
            </w:r>
          </w:p>
        </w:tc>
      </w:tr>
      <w:tr>
        <w:tc>
          <w:tcPr>
            <w:tcW w:type="dxa" w:w="35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val="false"/>
                <w:bCs w:val="false"/>
                <w:color w:val="000000"/>
                <w:sz w:val="20"/>
                <w:szCs w:val="20"/>
              </w:rPr>
              <w:t xml:space="preserve">Avg Daily Consumption (ADC)</w:t>
            </w:r>
          </w:p>
        </w:tc>
        <w:tc>
          <w:tcPr>
            <w:tcW w:type="dxa" w:w="286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val="false"/>
                <w:bCs w:val="false"/>
                <w:color w:val="000000"/>
                <w:sz w:val="20"/>
                <w:szCs w:val="20"/>
              </w:rPr>
              <w:t xml:space="preserve">Mean of consumption column</w:t>
            </w:r>
          </w:p>
        </w:tc>
        <w:tc>
          <w:tcPr>
            <w:tcW w:type="dxa" w:w="30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val="false"/>
                <w:bCs w:val="false"/>
                <w:color w:val="000000"/>
                <w:sz w:val="20"/>
                <w:szCs w:val="20"/>
              </w:rPr>
              <w:t xml:space="preserve">30,149 MT/day</w:t>
            </w:r>
          </w:p>
        </w:tc>
      </w:tr>
      <w:tr>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Lead Time</w:t>
            </w:r>
          </w:p>
        </w:tc>
        <w:tc>
          <w:tcPr>
            <w:tcW w:type="dxa" w:w="2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From procurement records</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7 days</w:t>
            </w:r>
          </w:p>
        </w:tc>
      </w:tr>
      <w:tr>
        <w:tc>
          <w:tcPr>
            <w:tcW w:type="dxa" w:w="35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val="false"/>
                <w:bCs w:val="false"/>
                <w:color w:val="000000"/>
                <w:sz w:val="20"/>
                <w:szCs w:val="20"/>
              </w:rPr>
              <w:t xml:space="preserve">Lead Time Demand</w:t>
            </w:r>
          </w:p>
        </w:tc>
        <w:tc>
          <w:tcPr>
            <w:tcW w:type="dxa" w:w="286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val="false"/>
                <w:bCs w:val="false"/>
                <w:color w:val="000000"/>
                <w:sz w:val="20"/>
                <w:szCs w:val="20"/>
              </w:rPr>
              <w:t xml:space="preserve">30,149 × 7</w:t>
            </w:r>
          </w:p>
        </w:tc>
        <w:tc>
          <w:tcPr>
            <w:tcW w:type="dxa" w:w="30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val="false"/>
                <w:bCs w:val="false"/>
                <w:color w:val="000000"/>
                <w:sz w:val="20"/>
                <w:szCs w:val="20"/>
              </w:rPr>
              <w:t xml:space="preserve">211,043 MT</w:t>
            </w:r>
          </w:p>
        </w:tc>
      </w:tr>
      <w:tr>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Safety Stock  (Z=1.645, σ=7,729)</w:t>
            </w:r>
          </w:p>
        </w:tc>
        <w:tc>
          <w:tcPr>
            <w:tcW w:type="dxa" w:w="2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1.645 × 7,729 × √7</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33,638 MT</w:t>
            </w:r>
          </w:p>
        </w:tc>
      </w:tr>
      <w:tr>
        <w:tc>
          <w:tcPr>
            <w:tcW w:type="dxa" w:w="3500"/>
            <w:tcBorders>
              <w:top w:val="single" w:color="1F4E79" w:sz="1"/>
              <w:left w:val="single" w:color="1F4E79" w:sz="1"/>
              <w:bottom w:val="single" w:color="1F4E79" w:sz="1"/>
              <w:right w:val="single" w:color="1F4E79" w:sz="1"/>
            </w:tcBorders>
            <w:shd w:fill="1E8449" w:val="clear"/>
            <w:tcMar>
              <w:top w:type="dxa" w:w="100"/>
              <w:left w:type="dxa" w:w="120"/>
              <w:bottom w:type="dxa" w:w="100"/>
              <w:right w:type="dxa" w:w="120"/>
            </w:tcMar>
          </w:tcPr>
          <w:p>
            <w:r>
              <w:rPr>
                <w:rFonts w:ascii="Arial" w:cs="Arial" w:eastAsia="Arial" w:hAnsi="Arial"/>
                <w:b/>
                <w:bCs/>
                <w:color w:val="FFFFFF"/>
                <w:sz w:val="20"/>
                <w:szCs w:val="20"/>
              </w:rPr>
              <w:t xml:space="preserve">ROP — Trigger Level</w:t>
            </w:r>
          </w:p>
        </w:tc>
        <w:tc>
          <w:tcPr>
            <w:tcW w:type="dxa" w:w="2860"/>
            <w:tcBorders>
              <w:top w:val="single" w:color="1F4E79" w:sz="1"/>
              <w:left w:val="single" w:color="1F4E79" w:sz="1"/>
              <w:bottom w:val="single" w:color="1F4E79" w:sz="1"/>
              <w:right w:val="single" w:color="1F4E79" w:sz="1"/>
            </w:tcBorders>
            <w:shd w:fill="1E8449" w:val="clear"/>
            <w:tcMar>
              <w:top w:type="dxa" w:w="100"/>
              <w:left w:type="dxa" w:w="120"/>
              <w:bottom w:type="dxa" w:w="100"/>
              <w:right w:type="dxa" w:w="120"/>
            </w:tcMar>
          </w:tcPr>
          <w:p>
            <w:r>
              <w:rPr>
                <w:rFonts w:ascii="Arial" w:cs="Arial" w:eastAsia="Arial" w:hAnsi="Arial"/>
                <w:b/>
                <w:bCs/>
                <w:color w:val="FFFFFF"/>
                <w:sz w:val="20"/>
                <w:szCs w:val="20"/>
              </w:rPr>
              <w:t xml:space="preserve">211,043 + 33,638</w:t>
            </w:r>
          </w:p>
        </w:tc>
        <w:tc>
          <w:tcPr>
            <w:tcW w:type="dxa" w:w="3000"/>
            <w:tcBorders>
              <w:top w:val="single" w:color="1F4E79" w:sz="1"/>
              <w:left w:val="single" w:color="1F4E79" w:sz="1"/>
              <w:bottom w:val="single" w:color="1F4E79" w:sz="1"/>
              <w:right w:val="single" w:color="1F4E79" w:sz="1"/>
            </w:tcBorders>
            <w:shd w:fill="1E8449" w:val="clear"/>
            <w:tcMar>
              <w:top w:type="dxa" w:w="100"/>
              <w:left w:type="dxa" w:w="120"/>
              <w:bottom w:type="dxa" w:w="100"/>
              <w:right w:type="dxa" w:w="120"/>
            </w:tcMar>
          </w:tcPr>
          <w:p>
            <w:r>
              <w:rPr>
                <w:rFonts w:ascii="Arial" w:cs="Arial" w:eastAsia="Arial" w:hAnsi="Arial"/>
                <w:b/>
                <w:bCs/>
                <w:color w:val="FFFFFF"/>
                <w:sz w:val="20"/>
                <w:szCs w:val="20"/>
              </w:rPr>
              <w:t xml:space="preserve">244,684 MT  ← Order now!</w:t>
            </w:r>
          </w:p>
        </w:tc>
      </w:tr>
    </w:tbl>
    <w:p>
      <w:pPr>
        <w:spacing w:before="80" w:after="80"/>
      </w:pPr>
      <w:r>
        <w:t xml:space="preserve"/>
      </w:r>
    </w:p>
    <w:p>
      <w:pPr>
        <w:spacing w:before="200" w:after="100"/>
      </w:pPr>
      <w:r>
        <w:rPr>
          <w:rFonts w:ascii="Arial" w:cs="Arial" w:eastAsia="Arial" w:hAnsi="Arial"/>
          <w:b/>
          <w:bCs/>
          <w:color w:val="2E4057"/>
          <w:sz w:val="24"/>
          <w:szCs w:val="24"/>
        </w:rPr>
        <w:t xml:space="preserve">All Three Plants — ROP Summary (from real data)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1800"/>
        <w:gridCol w:w="1400"/>
        <w:gridCol w:w="1560"/>
        <w:gridCol w:w="1800"/>
        <w:gridCol w:w="1000"/>
        <w:gridCol w:w="1000"/>
      </w:tblGrid>
      <w:tr>
        <w:tc>
          <w:tcPr>
            <w:tcW w:type="dxa" w:w="1800"/>
            <w:tcBorders>
              <w:top w:val="single" w:color="1F4E79" w:sz="1"/>
              <w:left w:val="single" w:color="1F4E79" w:sz="1"/>
              <w:bottom w:val="single" w:color="1F4E79" w:sz="1"/>
              <w:right w:val="single" w:color="1F4E79" w:sz="1"/>
            </w:tcBorders>
            <w:shd w:fill="1F4E79" w:val="clear"/>
            <w:tcMar>
              <w:top w:type="dxa" w:w="100"/>
              <w:left w:type="dxa" w:w="120"/>
              <w:bottom w:type="dxa" w:w="100"/>
              <w:right w:type="dxa" w:w="120"/>
            </w:tcMar>
          </w:tcPr>
          <w:p>
            <w:pPr>
              <w:jc w:val="center"/>
            </w:pPr>
            <w:r>
              <w:rPr>
                <w:rFonts w:ascii="Arial" w:cs="Arial" w:eastAsia="Arial" w:hAnsi="Arial"/>
                <w:b/>
                <w:bCs/>
                <w:color w:val="FFFFFF"/>
                <w:sz w:val="20"/>
                <w:szCs w:val="20"/>
              </w:rPr>
              <w:t xml:space="preserve">Plant</w:t>
            </w:r>
          </w:p>
        </w:tc>
        <w:tc>
          <w:tcPr>
            <w:tcW w:type="dxa" w:w="1800"/>
            <w:tcBorders>
              <w:top w:val="single" w:color="1F4E79" w:sz="1"/>
              <w:left w:val="single" w:color="1F4E79" w:sz="1"/>
              <w:bottom w:val="single" w:color="1F4E79" w:sz="1"/>
              <w:right w:val="single" w:color="1F4E79" w:sz="1"/>
            </w:tcBorders>
            <w:shd w:fill="1F4E79" w:val="clear"/>
            <w:tcMar>
              <w:top w:type="dxa" w:w="100"/>
              <w:left w:type="dxa" w:w="120"/>
              <w:bottom w:type="dxa" w:w="100"/>
              <w:right w:type="dxa" w:w="120"/>
            </w:tcMar>
          </w:tcPr>
          <w:p>
            <w:pPr>
              <w:jc w:val="center"/>
            </w:pPr>
            <w:r>
              <w:rPr>
                <w:rFonts w:ascii="Arial" w:cs="Arial" w:eastAsia="Arial" w:hAnsi="Arial"/>
                <w:b/>
                <w:bCs/>
                <w:color w:val="FFFFFF"/>
                <w:sz w:val="20"/>
                <w:szCs w:val="20"/>
              </w:rPr>
              <w:t xml:space="preserve">ADC (MT/day)</w:t>
            </w:r>
          </w:p>
        </w:tc>
        <w:tc>
          <w:tcPr>
            <w:tcW w:type="dxa" w:w="1400"/>
            <w:tcBorders>
              <w:top w:val="single" w:color="1F4E79" w:sz="1"/>
              <w:left w:val="single" w:color="1F4E79" w:sz="1"/>
              <w:bottom w:val="single" w:color="1F4E79" w:sz="1"/>
              <w:right w:val="single" w:color="1F4E79" w:sz="1"/>
            </w:tcBorders>
            <w:shd w:fill="1F4E79" w:val="clear"/>
            <w:tcMar>
              <w:top w:type="dxa" w:w="100"/>
              <w:left w:type="dxa" w:w="120"/>
              <w:bottom w:type="dxa" w:w="100"/>
              <w:right w:type="dxa" w:w="120"/>
            </w:tcMar>
          </w:tcPr>
          <w:p>
            <w:pPr>
              <w:jc w:val="center"/>
            </w:pPr>
            <w:r>
              <w:rPr>
                <w:rFonts w:ascii="Arial" w:cs="Arial" w:eastAsia="Arial" w:hAnsi="Arial"/>
                <w:b/>
                <w:bCs/>
                <w:color w:val="FFFFFF"/>
                <w:sz w:val="20"/>
                <w:szCs w:val="20"/>
              </w:rPr>
              <w:t xml:space="preserve">Std Dev</w:t>
            </w:r>
          </w:p>
        </w:tc>
        <w:tc>
          <w:tcPr>
            <w:tcW w:type="dxa" w:w="1560"/>
            <w:tcBorders>
              <w:top w:val="single" w:color="1F4E79" w:sz="1"/>
              <w:left w:val="single" w:color="1F4E79" w:sz="1"/>
              <w:bottom w:val="single" w:color="1F4E79" w:sz="1"/>
              <w:right w:val="single" w:color="1F4E79" w:sz="1"/>
            </w:tcBorders>
            <w:shd w:fill="1F4E79" w:val="clear"/>
            <w:tcMar>
              <w:top w:type="dxa" w:w="100"/>
              <w:left w:type="dxa" w:w="120"/>
              <w:bottom w:type="dxa" w:w="100"/>
              <w:right w:type="dxa" w:w="120"/>
            </w:tcMar>
          </w:tcPr>
          <w:p>
            <w:pPr>
              <w:jc w:val="center"/>
            </w:pPr>
            <w:r>
              <w:rPr>
                <w:rFonts w:ascii="Arial" w:cs="Arial" w:eastAsia="Arial" w:hAnsi="Arial"/>
                <w:b/>
                <w:bCs/>
                <w:color w:val="FFFFFF"/>
                <w:sz w:val="20"/>
                <w:szCs w:val="20"/>
              </w:rPr>
              <w:t xml:space="preserve">Lead Time</w:t>
            </w:r>
          </w:p>
        </w:tc>
        <w:tc>
          <w:tcPr>
            <w:tcW w:type="dxa" w:w="1800"/>
            <w:tcBorders>
              <w:top w:val="single" w:color="1F4E79" w:sz="1"/>
              <w:left w:val="single" w:color="1F4E79" w:sz="1"/>
              <w:bottom w:val="single" w:color="1F4E79" w:sz="1"/>
              <w:right w:val="single" w:color="1F4E79" w:sz="1"/>
            </w:tcBorders>
            <w:shd w:fill="1F4E79" w:val="clear"/>
            <w:tcMar>
              <w:top w:type="dxa" w:w="100"/>
              <w:left w:type="dxa" w:w="120"/>
              <w:bottom w:type="dxa" w:w="100"/>
              <w:right w:type="dxa" w:w="120"/>
            </w:tcMar>
          </w:tcPr>
          <w:p>
            <w:pPr>
              <w:jc w:val="center"/>
            </w:pPr>
            <w:r>
              <w:rPr>
                <w:rFonts w:ascii="Arial" w:cs="Arial" w:eastAsia="Arial" w:hAnsi="Arial"/>
                <w:b/>
                <w:bCs/>
                <w:color w:val="FFFFFF"/>
                <w:sz w:val="20"/>
                <w:szCs w:val="20"/>
              </w:rPr>
              <w:t xml:space="preserve">Safety Stock</w:t>
            </w:r>
          </w:p>
        </w:tc>
        <w:tc>
          <w:tcPr>
            <w:tcW w:type="dxa" w:w="1000"/>
            <w:tcBorders>
              <w:top w:val="single" w:color="1F4E79" w:sz="1"/>
              <w:left w:val="single" w:color="1F4E79" w:sz="1"/>
              <w:bottom w:val="single" w:color="1F4E79" w:sz="1"/>
              <w:right w:val="single" w:color="1F4E79" w:sz="1"/>
            </w:tcBorders>
            <w:shd w:fill="1F4E79" w:val="clear"/>
            <w:tcMar>
              <w:top w:type="dxa" w:w="100"/>
              <w:left w:type="dxa" w:w="120"/>
              <w:bottom w:type="dxa" w:w="100"/>
              <w:right w:type="dxa" w:w="120"/>
            </w:tcMar>
          </w:tcPr>
          <w:p>
            <w:pPr>
              <w:jc w:val="center"/>
            </w:pPr>
            <w:r>
              <w:rPr>
                <w:rFonts w:ascii="Arial" w:cs="Arial" w:eastAsia="Arial" w:hAnsi="Arial"/>
                <w:b/>
                <w:bCs/>
                <w:color w:val="FFFFFF"/>
                <w:sz w:val="20"/>
                <w:szCs w:val="20"/>
              </w:rPr>
              <w:t xml:space="preserve">ROP (MT)</w:t>
            </w:r>
          </w:p>
        </w:tc>
        <w:tc>
          <w:tcPr>
            <w:tcW w:type="dxa" w:w="1000"/>
            <w:tcBorders>
              <w:top w:val="single" w:color="1F4E79" w:sz="1"/>
              <w:left w:val="single" w:color="1F4E79" w:sz="1"/>
              <w:bottom w:val="single" w:color="1F4E79" w:sz="1"/>
              <w:right w:val="single" w:color="1F4E79" w:sz="1"/>
            </w:tcBorders>
            <w:shd w:fill="1F4E79" w:val="clear"/>
            <w:tcMar>
              <w:top w:type="dxa" w:w="100"/>
              <w:left w:type="dxa" w:w="120"/>
              <w:bottom w:type="dxa" w:w="100"/>
              <w:right w:type="dxa" w:w="120"/>
            </w:tcMar>
          </w:tcPr>
          <w:p>
            <w:pPr>
              <w:jc w:val="center"/>
            </w:pPr>
            <w:r>
              <w:rPr>
                <w:rFonts w:ascii="Arial" w:cs="Arial" w:eastAsia="Arial" w:hAnsi="Arial"/>
                <w:b/>
                <w:bCs/>
                <w:color w:val="FFFFFF"/>
                <w:sz w:val="20"/>
                <w:szCs w:val="20"/>
              </w:rPr>
              <w:t xml:space="preserve">SL</w:t>
            </w:r>
          </w:p>
        </w:tc>
      </w:tr>
      <w:tr>
        <w:tc>
          <w:tcPr>
            <w:tcW w:type="dxa" w:w="18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color w:val="000000"/>
                <w:sz w:val="20"/>
                <w:szCs w:val="20"/>
              </w:rPr>
              <w:t xml:space="preserve">Barh</w:t>
            </w:r>
          </w:p>
        </w:tc>
        <w:tc>
          <w:tcPr>
            <w:tcW w:type="dxa" w:w="18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val="false"/>
                <w:bCs w:val="false"/>
                <w:color w:val="000000"/>
                <w:sz w:val="20"/>
                <w:szCs w:val="20"/>
              </w:rPr>
              <w:t xml:space="preserve">30,149</w:t>
            </w:r>
          </w:p>
        </w:tc>
        <w:tc>
          <w:tcPr>
            <w:tcW w:type="dxa" w:w="14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val="false"/>
                <w:bCs w:val="false"/>
                <w:color w:val="000000"/>
                <w:sz w:val="20"/>
                <w:szCs w:val="20"/>
              </w:rPr>
              <w:t xml:space="preserve">7,729</w:t>
            </w:r>
          </w:p>
        </w:tc>
        <w:tc>
          <w:tcPr>
            <w:tcW w:type="dxa" w:w="156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val="false"/>
                <w:bCs w:val="false"/>
                <w:color w:val="000000"/>
                <w:sz w:val="20"/>
                <w:szCs w:val="20"/>
              </w:rPr>
              <w:t xml:space="preserve">7 days</w:t>
            </w:r>
          </w:p>
        </w:tc>
        <w:tc>
          <w:tcPr>
            <w:tcW w:type="dxa" w:w="18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val="false"/>
                <w:bCs w:val="false"/>
                <w:color w:val="000000"/>
                <w:sz w:val="20"/>
                <w:szCs w:val="20"/>
              </w:rPr>
              <w:t xml:space="preserve">33,638</w:t>
            </w:r>
          </w:p>
        </w:tc>
        <w:tc>
          <w:tcPr>
            <w:tcW w:type="dxa" w:w="10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color w:val="C0392B"/>
                <w:sz w:val="20"/>
                <w:szCs w:val="20"/>
              </w:rPr>
              <w:t xml:space="preserve">244,684</w:t>
            </w:r>
          </w:p>
        </w:tc>
        <w:tc>
          <w:tcPr>
            <w:tcW w:type="dxa" w:w="10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val="false"/>
                <w:bCs w:val="false"/>
                <w:color w:val="000000"/>
                <w:sz w:val="20"/>
                <w:szCs w:val="20"/>
              </w:rPr>
              <w:t xml:space="preserve">95%</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000000"/>
                <w:sz w:val="20"/>
                <w:szCs w:val="20"/>
              </w:rPr>
              <w:t xml:space="preserve">Dadri</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18,353</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3,940</w:t>
            </w:r>
          </w:p>
        </w:tc>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7 days</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17,146</w:t>
            </w:r>
          </w:p>
        </w:tc>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C0392B"/>
                <w:sz w:val="20"/>
                <w:szCs w:val="20"/>
              </w:rPr>
              <w:t xml:space="preserve">145,617</w:t>
            </w:r>
          </w:p>
        </w:tc>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95%</w:t>
            </w:r>
          </w:p>
        </w:tc>
      </w:tr>
      <w:tr>
        <w:tc>
          <w:tcPr>
            <w:tcW w:type="dxa" w:w="18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color w:val="000000"/>
                <w:sz w:val="20"/>
                <w:szCs w:val="20"/>
              </w:rPr>
              <w:t xml:space="preserve">Kudgi</w:t>
            </w:r>
          </w:p>
        </w:tc>
        <w:tc>
          <w:tcPr>
            <w:tcW w:type="dxa" w:w="18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val="false"/>
                <w:bCs w:val="false"/>
                <w:color w:val="000000"/>
                <w:sz w:val="20"/>
                <w:szCs w:val="20"/>
              </w:rPr>
              <w:t xml:space="preserve">21,379</w:t>
            </w:r>
          </w:p>
        </w:tc>
        <w:tc>
          <w:tcPr>
            <w:tcW w:type="dxa" w:w="14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val="false"/>
                <w:bCs w:val="false"/>
                <w:color w:val="000000"/>
                <w:sz w:val="20"/>
                <w:szCs w:val="20"/>
              </w:rPr>
              <w:t xml:space="preserve">6,470</w:t>
            </w:r>
          </w:p>
        </w:tc>
        <w:tc>
          <w:tcPr>
            <w:tcW w:type="dxa" w:w="156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val="false"/>
                <w:bCs w:val="false"/>
                <w:color w:val="000000"/>
                <w:sz w:val="20"/>
                <w:szCs w:val="20"/>
              </w:rPr>
              <w:t xml:space="preserve">7 days</w:t>
            </w:r>
          </w:p>
        </w:tc>
        <w:tc>
          <w:tcPr>
            <w:tcW w:type="dxa" w:w="18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val="false"/>
                <w:bCs w:val="false"/>
                <w:color w:val="000000"/>
                <w:sz w:val="20"/>
                <w:szCs w:val="20"/>
              </w:rPr>
              <w:t xml:space="preserve">28,157</w:t>
            </w:r>
          </w:p>
        </w:tc>
        <w:tc>
          <w:tcPr>
            <w:tcW w:type="dxa" w:w="10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color w:val="C0392B"/>
                <w:sz w:val="20"/>
                <w:szCs w:val="20"/>
              </w:rPr>
              <w:t xml:space="preserve">177,810</w:t>
            </w:r>
          </w:p>
        </w:tc>
        <w:tc>
          <w:tcPr>
            <w:tcW w:type="dxa" w:w="10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val="false"/>
                <w:bCs w:val="false"/>
                <w:color w:val="000000"/>
                <w:sz w:val="20"/>
                <w:szCs w:val="20"/>
              </w:rPr>
              <w:t xml:space="preserve">95%</w:t>
            </w:r>
          </w:p>
        </w:tc>
      </w:tr>
    </w:tbl>
    <w:p>
      <w:pPr>
        <w:spacing w:before="80" w:after="80"/>
      </w:pPr>
      <w:r>
        <w:t xml:space="preserve"/>
      </w:r>
    </w:p>
    <w:p>
      <w:pPr>
        <w:pBdr>
          <w:bottom w:val="single" w:color="2E75B6" w:sz="4" w:space="1"/>
        </w:pBdr>
        <w:spacing w:before="120" w:after="120"/>
      </w:pPr>
      <w:r>
        <w:t xml:space="preserve"/>
      </w:r>
    </w:p>
    <w:p>
      <w:pPr>
        <w:pStyle w:val="Heading1"/>
        <w:spacing w:before="320" w:after="160"/>
      </w:pPr>
      <w:r>
        <w:rPr>
          <w:rFonts w:ascii="Arial" w:cs="Arial" w:eastAsia="Arial" w:hAnsi="Arial"/>
          <w:b/>
          <w:bCs/>
          <w:color w:val="1F4E79"/>
          <w:sz w:val="36"/>
          <w:szCs w:val="36"/>
        </w:rPr>
        <w:t xml:space="preserve">4. Days of Stock Remaining</w:t>
      </w:r>
    </w:p>
    <w:p>
      <w:pPr>
        <w:spacing w:before="80" w:after="80"/>
      </w:pPr>
      <w:r>
        <w:rPr>
          <w:rFonts w:ascii="Arial" w:cs="Arial" w:eastAsia="Arial" w:hAnsi="Arial"/>
          <w:sz w:val="22"/>
          <w:szCs w:val="22"/>
        </w:rPr>
        <w:t xml:space="preserve">This is an operator-facing metric added based on reviewer recommendation. It tells operators exactly how many days of coal are left at current consumption rate — making risk instantly visible without calculations.</w:t>
      </w:r>
    </w:p>
    <w:p>
      <w:pPr>
        <w:spacing w:before="8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4560"/>
        <w:gridCol w:w="2600"/>
      </w:tblGrid>
      <w:tr>
        <w:tc>
          <w:tcPr>
            <w:tcW w:type="dxa" w:w="2200"/>
            <w:tcBorders>
              <w:top w:val="single" w:color="1F4E79" w:sz="1"/>
              <w:left w:val="single" w:color="1F4E79" w:sz="1"/>
              <w:bottom w:val="single" w:color="1F4E79" w:sz="1"/>
              <w:right w:val="single" w:color="1F4E79" w:sz="1"/>
            </w:tcBorders>
            <w:shd w:fill="2E75B6" w:val="clear"/>
            <w:tcMar>
              <w:top w:type="dxa" w:w="100"/>
              <w:left w:type="dxa" w:w="120"/>
              <w:bottom w:type="dxa" w:w="100"/>
              <w:right w:type="dxa" w:w="120"/>
            </w:tcMar>
          </w:tcPr>
          <w:p>
            <w:r>
              <w:rPr>
                <w:rFonts w:ascii="Arial" w:cs="Arial" w:eastAsia="Arial" w:hAnsi="Arial"/>
                <w:b/>
                <w:bCs/>
                <w:color w:val="FFFFFF"/>
                <w:sz w:val="20"/>
                <w:szCs w:val="20"/>
              </w:rPr>
              <w:t xml:space="preserve">Days of Stock</w:t>
            </w:r>
          </w:p>
        </w:tc>
        <w:tc>
          <w:tcPr>
            <w:tcW w:type="dxa" w:w="4560"/>
            <w:tcBorders>
              <w:top w:val="single" w:color="CCCCCC" w:sz="1"/>
              <w:left w:val="single" w:color="CCCCCC" w:sz="1"/>
              <w:bottom w:val="single" w:color="CCCCCC" w:sz="1"/>
              <w:right w:val="single" w:color="CCCCCC" w:sz="1"/>
            </w:tcBorders>
            <w:shd w:fill="EBF3FB" w:val="clear"/>
            <w:tcMar>
              <w:top w:type="dxa" w:w="100"/>
              <w:left w:type="dxa" w:w="120"/>
              <w:bottom w:type="dxa" w:w="100"/>
              <w:right w:type="dxa" w:w="120"/>
            </w:tcMar>
          </w:tcPr>
          <w:p>
            <w:r>
              <w:rPr>
                <w:rFonts w:ascii="Courier New" w:cs="Courier New" w:eastAsia="Courier New" w:hAnsi="Courier New"/>
                <w:color w:val="C0392B"/>
                <w:sz w:val="20"/>
                <w:szCs w:val="20"/>
              </w:rPr>
              <w:t xml:space="preserve">Days_of_Stock  =  Current Stock (MT)  ÷  ADC</w:t>
            </w:r>
          </w:p>
        </w:tc>
        <w:tc>
          <w:tcPr>
            <w:tcW w:type="dxa" w:w="2600"/>
            <w:tcBorders>
              <w:top w:val="single" w:color="CCCCCC" w:sz="1"/>
              <w:left w:val="single" w:color="CCCCCC" w:sz="1"/>
              <w:bottom w:val="single" w:color="CCCCCC" w:sz="1"/>
              <w:right w:val="single" w:color="CCCCCC" w:sz="1"/>
            </w:tcBorders>
            <w:shd w:fill="D5F5E3" w:val="clear"/>
            <w:tcMar>
              <w:top w:type="dxa" w:w="100"/>
              <w:left w:type="dxa" w:w="120"/>
              <w:bottom w:type="dxa" w:w="100"/>
              <w:right w:type="dxa" w:w="120"/>
            </w:tcMar>
          </w:tcPr>
          <w:p>
            <w:r>
              <w:rPr>
                <w:rFonts w:ascii="Arial" w:cs="Arial" w:eastAsia="Arial" w:hAnsi="Arial"/>
                <w:b/>
                <w:bCs/>
                <w:color w:val="1E8449"/>
                <w:sz w:val="20"/>
                <w:szCs w:val="20"/>
              </w:rPr>
              <w:t xml:space="preserve">Added to output</w:t>
            </w:r>
          </w:p>
        </w:tc>
      </w:tr>
    </w:tbl>
    <w:p>
      <w:pPr>
        <w:spacing w:before="80" w:after="80"/>
      </w:pPr>
      <w:r>
        <w:t xml:space="preserve"/>
      </w:r>
    </w:p>
    <w:p>
      <w:pPr>
        <w:pBdr>
          <w:left w:val="single" w:color="2E75B6" w:sz="14" w:space="8"/>
        </w:pBdr>
        <w:shd w:fill="EBF3FB" w:val="clear"/>
        <w:spacing w:before="120" w:after="120"/>
        <w:ind w:left="360" w:right="360"/>
      </w:pPr>
      <w:r>
        <w:rPr>
          <w:rFonts w:ascii="Arial" w:cs="Arial" w:eastAsia="Arial" w:hAnsi="Arial"/>
          <w:b/>
          <w:bCs/>
          <w:color w:val="2E75B6"/>
          <w:sz w:val="22"/>
          <w:szCs w:val="22"/>
        </w:rPr>
        <w:t xml:space="preserve">Example: </w:t>
      </w:r>
      <w:r>
        <w:rPr>
          <w:rFonts w:ascii="Arial" w:cs="Arial" w:eastAsia="Arial" w:hAnsi="Arial"/>
          <w:sz w:val="22"/>
          <w:szCs w:val="22"/>
        </w:rPr>
        <w:t xml:space="preserve">Stock = 440,226 MT  |  ADC = 30,149 MT/day  →  Days of Stock = 14.6 days  (Barh, April 1 2023)</w:t>
      </w:r>
    </w:p>
    <w:p>
      <w:pPr>
        <w:spacing w:before="8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3480"/>
        <w:gridCol w:w="3480"/>
      </w:tblGrid>
      <w:tr>
        <w:tc>
          <w:tcPr>
            <w:tcW w:type="dxa" w:w="2400"/>
            <w:tcBorders>
              <w:top w:val="single" w:color="1F4E79" w:sz="1"/>
              <w:left w:val="single" w:color="1F4E79" w:sz="1"/>
              <w:bottom w:val="single" w:color="1F4E79" w:sz="1"/>
              <w:right w:val="single" w:color="1F4E79" w:sz="1"/>
            </w:tcBorders>
            <w:shd w:fill="1F4E79" w:val="clear"/>
            <w:tcMar>
              <w:top w:type="dxa" w:w="100"/>
              <w:left w:type="dxa" w:w="120"/>
              <w:bottom w:type="dxa" w:w="100"/>
              <w:right w:type="dxa" w:w="120"/>
            </w:tcMar>
          </w:tcPr>
          <w:p>
            <w:pPr>
              <w:jc w:val="center"/>
            </w:pPr>
            <w:r>
              <w:rPr>
                <w:rFonts w:ascii="Arial" w:cs="Arial" w:eastAsia="Arial" w:hAnsi="Arial"/>
                <w:b/>
                <w:bCs/>
                <w:color w:val="FFFFFF"/>
                <w:sz w:val="20"/>
                <w:szCs w:val="20"/>
              </w:rPr>
              <w:t xml:space="preserve">Days of Stock</w:t>
            </w:r>
          </w:p>
        </w:tc>
        <w:tc>
          <w:tcPr>
            <w:tcW w:type="dxa" w:w="3480"/>
            <w:tcBorders>
              <w:top w:val="single" w:color="1F4E79" w:sz="1"/>
              <w:left w:val="single" w:color="1F4E79" w:sz="1"/>
              <w:bottom w:val="single" w:color="1F4E79" w:sz="1"/>
              <w:right w:val="single" w:color="1F4E79" w:sz="1"/>
            </w:tcBorders>
            <w:shd w:fill="1F4E79" w:val="clear"/>
            <w:tcMar>
              <w:top w:type="dxa" w:w="100"/>
              <w:left w:type="dxa" w:w="120"/>
              <w:bottom w:type="dxa" w:w="100"/>
              <w:right w:type="dxa" w:w="120"/>
            </w:tcMar>
          </w:tcPr>
          <w:p>
            <w:pPr>
              <w:jc w:val="center"/>
            </w:pPr>
            <w:r>
              <w:rPr>
                <w:rFonts w:ascii="Arial" w:cs="Arial" w:eastAsia="Arial" w:hAnsi="Arial"/>
                <w:b/>
                <w:bCs/>
                <w:color w:val="FFFFFF"/>
                <w:sz w:val="20"/>
                <w:szCs w:val="20"/>
              </w:rPr>
              <w:t xml:space="preserve">Status</w:t>
            </w:r>
          </w:p>
        </w:tc>
        <w:tc>
          <w:tcPr>
            <w:tcW w:type="dxa" w:w="3480"/>
            <w:tcBorders>
              <w:top w:val="single" w:color="1F4E79" w:sz="1"/>
              <w:left w:val="single" w:color="1F4E79" w:sz="1"/>
              <w:bottom w:val="single" w:color="1F4E79" w:sz="1"/>
              <w:right w:val="single" w:color="1F4E79" w:sz="1"/>
            </w:tcBorders>
            <w:shd w:fill="1F4E79" w:val="clear"/>
            <w:tcMar>
              <w:top w:type="dxa" w:w="100"/>
              <w:left w:type="dxa" w:w="120"/>
              <w:bottom w:type="dxa" w:w="100"/>
              <w:right w:type="dxa" w:w="120"/>
            </w:tcMar>
          </w:tcPr>
          <w:p>
            <w:pPr>
              <w:jc w:val="center"/>
            </w:pPr>
            <w:r>
              <w:rPr>
                <w:rFonts w:ascii="Arial" w:cs="Arial" w:eastAsia="Arial" w:hAnsi="Arial"/>
                <w:b/>
                <w:bCs/>
                <w:color w:val="FFFFFF"/>
                <w:sz w:val="20"/>
                <w:szCs w:val="20"/>
              </w:rPr>
              <w:t xml:space="preserve">Action</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&gt; 14 days</w:t>
            </w:r>
          </w:p>
        </w:tc>
        <w:tc>
          <w:tcPr>
            <w:tcW w:type="dxa" w:w="34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E8449"/>
                <w:sz w:val="20"/>
                <w:szCs w:val="20"/>
              </w:rPr>
              <w:t xml:space="preserve">Safe</w:t>
            </w:r>
          </w:p>
        </w:tc>
        <w:tc>
          <w:tcPr>
            <w:tcW w:type="dxa" w:w="34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No action needed</w:t>
            </w:r>
          </w:p>
        </w:tc>
      </w:tr>
      <w:tr>
        <w:tc>
          <w:tcPr>
            <w:tcW w:type="dxa" w:w="24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val="false"/>
                <w:bCs w:val="false"/>
                <w:color w:val="000000"/>
                <w:sz w:val="20"/>
                <w:szCs w:val="20"/>
              </w:rPr>
              <w:t xml:space="preserve">7 – 14 days</w:t>
            </w:r>
          </w:p>
        </w:tc>
        <w:tc>
          <w:tcPr>
            <w:tcW w:type="dxa" w:w="348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val="false"/>
                <w:bCs w:val="false"/>
                <w:color w:val="E67E22"/>
                <w:sz w:val="20"/>
                <w:szCs w:val="20"/>
              </w:rPr>
              <w:t xml:space="preserve">Watch zone</w:t>
            </w:r>
          </w:p>
        </w:tc>
        <w:tc>
          <w:tcPr>
            <w:tcW w:type="dxa" w:w="348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val="false"/>
                <w:bCs w:val="false"/>
                <w:color w:val="000000"/>
                <w:sz w:val="20"/>
                <w:szCs w:val="20"/>
              </w:rPr>
              <w:t xml:space="preserve">Monitor closely, prepare order</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 7 days (= Lead Time)</w:t>
            </w:r>
          </w:p>
        </w:tc>
        <w:tc>
          <w:tcPr>
            <w:tcW w:type="dxa" w:w="34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C0392B"/>
                <w:sz w:val="20"/>
                <w:szCs w:val="20"/>
              </w:rPr>
              <w:t xml:space="preserve">Critical — ROP triggered</w:t>
            </w:r>
          </w:p>
        </w:tc>
        <w:tc>
          <w:tcPr>
            <w:tcW w:type="dxa" w:w="34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Place order immediately</w:t>
            </w:r>
          </w:p>
        </w:tc>
      </w:tr>
    </w:tbl>
    <w:p>
      <w:pPr>
        <w:spacing w:before="80" w:after="80"/>
      </w:pPr>
      <w:r>
        <w:t xml:space="preserve"/>
      </w:r>
    </w:p>
    <w:p>
      <w:pPr>
        <w:pBdr>
          <w:bottom w:val="single" w:color="2E75B6" w:sz="4" w:space="1"/>
        </w:pBdr>
        <w:spacing w:before="120" w:after="120"/>
      </w:pPr>
      <w:r>
        <w:t xml:space="preserve"/>
      </w:r>
    </w:p>
    <w:p>
      <w:pPr>
        <w:pStyle w:val="Heading1"/>
        <w:spacing w:before="320" w:after="160"/>
      </w:pPr>
      <w:r>
        <w:rPr>
          <w:rFonts w:ascii="Arial" w:cs="Arial" w:eastAsia="Arial" w:hAnsi="Arial"/>
          <w:b/>
          <w:bCs/>
          <w:color w:val="1F4E79"/>
          <w:sz w:val="36"/>
          <w:szCs w:val="36"/>
        </w:rPr>
        <w:t xml:space="preserve">5. EOQ — Clarification</w:t>
      </w:r>
    </w:p>
    <w:p>
      <w:pPr>
        <w:spacing w:before="80" w:after="80"/>
      </w:pPr>
      <w:r>
        <w:rPr>
          <w:rFonts w:ascii="Arial" w:cs="Arial" w:eastAsia="Arial" w:hAnsi="Arial"/>
          <w:b/>
          <w:bCs/>
          <w:sz w:val="22"/>
          <w:szCs w:val="22"/>
        </w:rPr>
        <w:t xml:space="preserve">ROP answers: </w:t>
      </w:r>
      <w:r>
        <w:rPr>
          <w:rFonts w:ascii="Arial" w:cs="Arial" w:eastAsia="Arial" w:hAnsi="Arial"/>
          <w:sz w:val="22"/>
          <w:szCs w:val="22"/>
        </w:rPr>
        <w:t xml:space="preserve">WHEN to order.  </w:t>
      </w:r>
      <w:r>
        <w:rPr>
          <w:rFonts w:ascii="Arial" w:cs="Arial" w:eastAsia="Arial" w:hAnsi="Arial"/>
          <w:b/>
          <w:bCs/>
          <w:sz w:val="22"/>
          <w:szCs w:val="22"/>
        </w:rPr>
        <w:t xml:space="preserve">EOQ answers: </w:t>
      </w:r>
      <w:r>
        <w:rPr>
          <w:rFonts w:ascii="Arial" w:cs="Arial" w:eastAsia="Arial" w:hAnsi="Arial"/>
          <w:sz w:val="22"/>
          <w:szCs w:val="22"/>
        </w:rPr>
        <w:t xml:space="preserve">HOW MUCH to order.</w:t>
      </w:r>
    </w:p>
    <w:p>
      <w:pPr>
        <w:spacing w:before="80" w:after="80"/>
      </w:pPr>
      <w:r>
        <w:rPr>
          <w:rFonts w:ascii="Arial" w:cs="Arial" w:eastAsia="Arial" w:hAnsi="Arial"/>
          <w:sz w:val="22"/>
          <w:szCs w:val="22"/>
        </w:rPr>
        <w:t xml:space="preserve">Since coal deliveries at power plants are determined by railway rake size (fixed at ~3,800–4,200 MT per rake), the actual order quantity is constrained by logistics — not a free variable. EOQ is therefore included in the code for theoretical reference only.</w:t>
      </w:r>
    </w:p>
    <w:p>
      <w:pPr>
        <w:pBdr>
          <w:left w:val="single" w:color="E67E22" w:sz="14" w:space="8"/>
        </w:pBdr>
        <w:shd w:fill="FFF9E6" w:val="clear"/>
        <w:spacing w:before="120" w:after="120"/>
        <w:ind w:left="360" w:right="360"/>
      </w:pPr>
      <w:r>
        <w:rPr>
          <w:rFonts w:ascii="Arial" w:cs="Arial" w:eastAsia="Arial" w:hAnsi="Arial"/>
          <w:b/>
          <w:bCs/>
          <w:color w:val="E67E22"/>
          <w:sz w:val="22"/>
          <w:szCs w:val="22"/>
        </w:rPr>
        <w:t xml:space="preserve">Reviewer note: </w:t>
      </w:r>
      <w:r>
        <w:rPr>
          <w:rFonts w:ascii="Arial" w:cs="Arial" w:eastAsia="Arial" w:hAnsi="Arial"/>
          <w:sz w:val="22"/>
          <w:szCs w:val="22"/>
        </w:rPr>
        <w:t xml:space="preserve">EOQ included for completeness. Actual order quantity is determined by railway rake capacity and operational scheduling, not the EOQ formula.</w:t>
      </w:r>
    </w:p>
    <w:p>
      <w:pPr>
        <w:spacing w:before="80" w:after="80"/>
      </w:pPr>
      <w:r>
        <w:t xml:space="preserve"/>
      </w:r>
    </w:p>
    <w:p>
      <w:pPr>
        <w:pBdr>
          <w:bottom w:val="single" w:color="2E75B6" w:sz="4" w:space="1"/>
        </w:pBdr>
        <w:spacing w:before="120" w:after="120"/>
      </w:pPr>
      <w:r>
        <w:t xml:space="preserve"/>
      </w:r>
    </w:p>
    <w:p>
      <w:pPr>
        <w:pStyle w:val="Heading1"/>
        <w:spacing w:before="320" w:after="160"/>
      </w:pPr>
      <w:r>
        <w:rPr>
          <w:rFonts w:ascii="Arial" w:cs="Arial" w:eastAsia="Arial" w:hAnsi="Arial"/>
          <w:b/>
          <w:bCs/>
          <w:color w:val="1F4E79"/>
          <w:sz w:val="36"/>
          <w:szCs w:val="36"/>
        </w:rPr>
        <w:t xml:space="preserve">6. Algorithm Logic (Step by Step)</w:t>
      </w:r>
    </w:p>
    <w:p>
      <w:pPr>
        <w:pStyle w:val="ListParagraph"/>
        <w:numPr>
          <w:ilvl w:val="0"/>
          <w:numId w:val="3"/>
        </w:numPr>
        <w:spacing w:before="80" w:after="60"/>
      </w:pPr>
      <w:r>
        <w:rPr>
          <w:rFonts w:ascii="Arial" w:cs="Arial" w:eastAsia="Arial" w:hAnsi="Arial"/>
          <w:sz w:val="22"/>
          <w:szCs w:val="22"/>
        </w:rPr>
        <w:t xml:space="preserve">Load merged data for the plant: Date, Consumption (MT), Stock (MT), RR Quantity (MT)</w:t>
      </w:r>
    </w:p>
    <w:p>
      <w:pPr>
        <w:pStyle w:val="ListParagraph"/>
        <w:numPr>
          <w:ilvl w:val="0"/>
          <w:numId w:val="3"/>
        </w:numPr>
        <w:spacing w:before="80" w:after="60"/>
      </w:pPr>
      <w:r>
        <w:rPr>
          <w:rFonts w:ascii="Arial" w:cs="Arial" w:eastAsia="Arial" w:hAnsi="Arial"/>
          <w:sz w:val="22"/>
          <w:szCs w:val="22"/>
        </w:rPr>
        <w:t xml:space="preserve">Calculate ADC = mean( Consumption (MT) )</w:t>
      </w:r>
    </w:p>
    <w:p>
      <w:pPr>
        <w:pStyle w:val="ListParagraph"/>
        <w:numPr>
          <w:ilvl w:val="0"/>
          <w:numId w:val="3"/>
        </w:numPr>
        <w:spacing w:before="80" w:after="60"/>
      </w:pPr>
      <w:r>
        <w:rPr>
          <w:rFonts w:ascii="Arial" w:cs="Arial" w:eastAsia="Arial" w:hAnsi="Arial"/>
          <w:sz w:val="22"/>
          <w:szCs w:val="22"/>
        </w:rPr>
        <w:t xml:space="preserve">Lead Time: use LEAD_TIME_DAYS = 7 (fixed)  OR  compute avg(rr_date − entry_dt) from procurement file</w:t>
      </w:r>
    </w:p>
    <w:p>
      <w:pPr>
        <w:pStyle w:val="ListParagraph"/>
        <w:numPr>
          <w:ilvl w:val="0"/>
          <w:numId w:val="3"/>
        </w:numPr>
        <w:spacing w:before="80" w:after="60"/>
      </w:pPr>
      <w:r>
        <w:rPr>
          <w:rFonts w:ascii="Arial" w:cs="Arial" w:eastAsia="Arial" w:hAnsi="Arial"/>
          <w:sz w:val="22"/>
          <w:szCs w:val="22"/>
        </w:rPr>
        <w:t xml:space="preserve">Calculate Safety Stock = Z × σ × √(Lead Time)</w:t>
      </w:r>
    </w:p>
    <w:p>
      <w:pPr>
        <w:pStyle w:val="ListParagraph"/>
        <w:numPr>
          <w:ilvl w:val="0"/>
          <w:numId w:val="3"/>
        </w:numPr>
        <w:spacing w:before="80" w:after="60"/>
      </w:pPr>
      <w:r>
        <w:rPr>
          <w:rFonts w:ascii="Arial" w:cs="Arial" w:eastAsia="Arial" w:hAnsi="Arial"/>
          <w:sz w:val="22"/>
          <w:szCs w:val="22"/>
        </w:rPr>
        <w:t xml:space="preserve">Compute ROP = (ADC × Lead Time) + Safety Stock</w:t>
      </w:r>
    </w:p>
    <w:p>
      <w:pPr>
        <w:pStyle w:val="ListParagraph"/>
        <w:numPr>
          <w:ilvl w:val="0"/>
          <w:numId w:val="3"/>
        </w:numPr>
        <w:spacing w:before="80" w:after="60"/>
      </w:pPr>
      <w:r>
        <w:rPr>
          <w:rFonts w:ascii="Arial" w:cs="Arial" w:eastAsia="Arial" w:hAnsi="Arial"/>
          <w:sz w:val="22"/>
          <w:szCs w:val="22"/>
        </w:rPr>
        <w:t xml:space="preserve">Add Days_of_Stock = Stock (MT) ÷ ADC  to every row</w:t>
      </w:r>
    </w:p>
    <w:p>
      <w:pPr>
        <w:pStyle w:val="ListParagraph"/>
        <w:numPr>
          <w:ilvl w:val="0"/>
          <w:numId w:val="3"/>
        </w:numPr>
        <w:spacing w:before="80" w:after="60"/>
      </w:pPr>
      <w:r>
        <w:rPr>
          <w:rFonts w:ascii="Arial" w:cs="Arial" w:eastAsia="Arial" w:hAnsi="Arial"/>
          <w:sz w:val="22"/>
          <w:szCs w:val="22"/>
        </w:rPr>
        <w:t xml:space="preserve">For every row: IF Stock (MT) ≤ ROP → set Alert = True</w:t>
      </w:r>
    </w:p>
    <w:p>
      <w:pPr>
        <w:pStyle w:val="ListParagraph"/>
        <w:numPr>
          <w:ilvl w:val="0"/>
          <w:numId w:val="3"/>
        </w:numPr>
        <w:spacing w:before="80" w:after="60"/>
      </w:pPr>
      <w:r>
        <w:rPr>
          <w:rFonts w:ascii="Arial" w:cs="Arial" w:eastAsia="Arial" w:hAnsi="Arial"/>
          <w:sz w:val="22"/>
          <w:szCs w:val="22"/>
        </w:rPr>
        <w:t xml:space="preserve">Export: ROP summary table + per-plant sheets with Alert and Days_of_Stock columns + alert CSV files</w:t>
      </w:r>
    </w:p>
    <w:p>
      <w:pPr>
        <w:spacing w:before="80" w:after="80"/>
      </w:pPr>
      <w:r>
        <w:t xml:space="preserve"/>
      </w:r>
    </w:p>
    <w:p>
      <w:pPr>
        <w:pBdr>
          <w:bottom w:val="single" w:color="2E75B6" w:sz="4" w:space="1"/>
        </w:pBdr>
        <w:spacing w:before="120" w:after="120"/>
      </w:pPr>
      <w:r>
        <w:t xml:space="preserve"/>
      </w:r>
    </w:p>
    <w:p>
      <w:pPr>
        <w:pStyle w:val="Heading1"/>
        <w:spacing w:before="320" w:after="160"/>
      </w:pPr>
      <w:r>
        <w:rPr>
          <w:rFonts w:ascii="Arial" w:cs="Arial" w:eastAsia="Arial" w:hAnsi="Arial"/>
          <w:b/>
          <w:bCs/>
          <w:color w:val="1F4E79"/>
          <w:sz w:val="36"/>
          <w:szCs w:val="36"/>
        </w:rPr>
        <w:t xml:space="preserve">7. Python Code — Full Implementation</w:t>
      </w:r>
    </w:p>
    <w:p>
      <w:pPr>
        <w:spacing w:before="80" w:after="80"/>
      </w:pPr>
      <w:r>
        <w:rPr>
          <w:rFonts w:ascii="Arial" w:cs="Arial" w:eastAsia="Arial" w:hAnsi="Arial"/>
          <w:sz w:val="22"/>
          <w:szCs w:val="22"/>
        </w:rPr>
        <w:t xml:space="preserve">Save as rop_algorithm.py in the same folder as merged_coal_data_by_plant.xlsx. Run:</w:t>
      </w:r>
    </w:p>
    <w:p>
      <w:pPr>
        <w:spacing w:before="80" w:after="80"/>
      </w:pPr>
      <w:r>
        <w:t xml:space="preserve"/>
      </w:r>
    </w:p>
    <w:p>
      <w:pPr>
        <w:pBdr>
          <w:left w:val="single" w:color="CCCCCC" w:sz="8" w:space="6"/>
        </w:pBdr>
        <w:shd w:fill="F4F4F4" w:val="clear"/>
        <w:spacing w:before="60" w:after="60"/>
        <w:ind w:left="360"/>
      </w:pPr>
      <w:r>
        <w:rPr>
          <w:rFonts w:ascii="Courier New" w:cs="Courier New" w:eastAsia="Courier New" w:hAnsi="Courier New"/>
          <w:color w:val="C0392B"/>
          <w:sz w:val="18"/>
          <w:szCs w:val="18"/>
        </w:rPr>
        <w:t xml:space="preserve">pip install pandas numpy scipy openpyxl</w:t>
      </w:r>
    </w:p>
    <w:p>
      <w:pPr>
        <w:pBdr>
          <w:left w:val="single" w:color="CCCCCC" w:sz="8" w:space="6"/>
        </w:pBdr>
        <w:shd w:fill="F4F4F4" w:val="clear"/>
        <w:spacing w:before="20" w:after="80"/>
        <w:ind w:left="360"/>
      </w:pPr>
      <w:r>
        <w:rPr>
          <w:rFonts w:ascii="Courier New" w:cs="Courier New" w:eastAsia="Courier New" w:hAnsi="Courier New"/>
          <w:color w:val="C0392B"/>
          <w:sz w:val="18"/>
          <w:szCs w:val="18"/>
        </w:rPr>
        <w:t xml:space="preserve">python rop_algorithm.py</w:t>
      </w:r>
    </w:p>
    <w:p>
      <w:pPr>
        <w:spacing w:before="80" w:after="80"/>
      </w:pPr>
      <w:r>
        <w:t xml:space="preserve"/>
      </w:r>
    </w:p>
    <w:p>
      <w:pPr>
        <w:spacing w:before="200" w:after="100"/>
      </w:pPr>
      <w:r>
        <w:rPr>
          <w:rFonts w:ascii="Arial" w:cs="Arial" w:eastAsia="Arial" w:hAnsi="Arial"/>
          <w:b/>
          <w:bCs/>
          <w:color w:val="2E4057"/>
          <w:sz w:val="24"/>
          <w:szCs w:val="24"/>
        </w:rPr>
        <w:t xml:space="preserve">Imports &amp; Configuration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1E1E1E" w:val="clear"/>
            <w:tcMar>
              <w:top w:type="dxa" w:w="140"/>
              <w:left w:type="dxa" w:w="220"/>
              <w:bottom w:type="dxa" w:w="140"/>
              <w:right w:type="dxa" w:w="220"/>
            </w:tcMar>
          </w:tcPr>
          <w:p>
            <w:pPr>
              <w:spacing w:before="8" w:after="8"/>
            </w:pPr>
            <w:r>
              <w:rPr>
                <w:rFonts w:ascii="Courier New" w:cs="Courier New" w:eastAsia="Courier New" w:hAnsi="Courier New"/>
                <w:color w:val="569CD6"/>
                <w:sz w:val="17"/>
                <w:szCs w:val="17"/>
              </w:rPr>
              <w:t xml:space="preserve">import pandas as pd</w:t>
            </w:r>
          </w:p>
          <w:p>
            <w:pPr>
              <w:spacing w:before="8" w:after="8"/>
            </w:pPr>
            <w:r>
              <w:rPr>
                <w:rFonts w:ascii="Courier New" w:cs="Courier New" w:eastAsia="Courier New" w:hAnsi="Courier New"/>
                <w:color w:val="569CD6"/>
                <w:sz w:val="17"/>
                <w:szCs w:val="17"/>
              </w:rPr>
              <w:t xml:space="preserve">import numpy as np</w:t>
            </w:r>
          </w:p>
          <w:p>
            <w:pPr>
              <w:spacing w:before="8" w:after="8"/>
            </w:pPr>
            <w:r>
              <w:rPr>
                <w:rFonts w:ascii="Courier New" w:cs="Courier New" w:eastAsia="Courier New" w:hAnsi="Courier New"/>
                <w:color w:val="569CD6"/>
                <w:sz w:val="17"/>
                <w:szCs w:val="17"/>
              </w:rPr>
              <w:t xml:space="preserve">from scipy import stats</w:t>
            </w:r>
          </w:p>
          <w:p>
            <w:pPr>
              <w:spacing w:before="8" w:after="8"/>
            </w:pPr>
            <w:r>
              <w:rPr>
                <w:rFonts w:ascii="Courier New" w:cs="Courier New" w:eastAsia="Courier New" w:hAnsi="Courier New"/>
                <w:color w:val="D4D4D4"/>
                <w:sz w:val="17"/>
                <w:szCs w:val="17"/>
              </w:rPr>
              <w:t xml:space="preserve"> </w:t>
            </w:r>
          </w:p>
          <w:p>
            <w:pPr>
              <w:spacing w:before="8" w:after="8"/>
            </w:pPr>
            <w:r>
              <w:rPr>
                <w:rFonts w:ascii="Courier New" w:cs="Courier New" w:eastAsia="Courier New" w:hAnsi="Courier New"/>
                <w:color w:val="6A9955"/>
                <w:sz w:val="17"/>
                <w:szCs w:val="17"/>
              </w:rPr>
              <w:t xml:space="preserve"># ── Configuration ──────────────────────────────────────────────────────────</w:t>
            </w:r>
          </w:p>
          <w:p>
            <w:pPr>
              <w:spacing w:before="8" w:after="8"/>
            </w:pPr>
            <w:r>
              <w:rPr>
                <w:rFonts w:ascii="Courier New" w:cs="Courier New" w:eastAsia="Courier New" w:hAnsi="Courier New"/>
                <w:color w:val="9CDCFE"/>
                <w:sz w:val="17"/>
                <w:szCs w:val="17"/>
              </w:rPr>
              <w:t xml:space="preserve">LEAD_TIME_DAYS = 7        # default assumption; or compute from data (see Step 3)</w:t>
            </w:r>
          </w:p>
          <w:p>
            <w:pPr>
              <w:spacing w:before="8" w:after="8"/>
            </w:pPr>
            <w:r>
              <w:rPr>
                <w:rFonts w:ascii="Courier New" w:cs="Courier New" w:eastAsia="Courier New" w:hAnsi="Courier New"/>
                <w:color w:val="9CDCFE"/>
                <w:sz w:val="17"/>
                <w:szCs w:val="17"/>
              </w:rPr>
              <w:t xml:space="preserve">SERVICE_LEVEL  = 0.95     # 95% → Z = 1.645  |  use 0.99 for critical plants</w:t>
            </w:r>
          </w:p>
          <w:p>
            <w:pPr>
              <w:spacing w:before="8" w:after="8"/>
            </w:pPr>
            <w:r>
              <w:rPr>
                <w:rFonts w:ascii="Courier New" w:cs="Courier New" w:eastAsia="Courier New" w:hAnsi="Courier New"/>
                <w:color w:val="9CDCFE"/>
                <w:sz w:val="17"/>
                <w:szCs w:val="17"/>
              </w:rPr>
              <w:t xml:space="preserve">Z_SCORE        = stats.norm.ppf(SERVICE_LEVEL)</w:t>
            </w:r>
          </w:p>
        </w:tc>
      </w:tr>
    </w:tbl>
    <w:p>
      <w:pPr>
        <w:spacing w:before="80" w:after="80"/>
      </w:pPr>
      <w:r>
        <w:t xml:space="preserve"/>
      </w:r>
    </w:p>
    <w:p>
      <w:pPr>
        <w:spacing w:before="200" w:after="100"/>
      </w:pPr>
      <w:r>
        <w:rPr>
          <w:rFonts w:ascii="Arial" w:cs="Arial" w:eastAsia="Arial" w:hAnsi="Arial"/>
          <w:b/>
          <w:bCs/>
          <w:color w:val="2E4057"/>
          <w:sz w:val="24"/>
          <w:szCs w:val="24"/>
        </w:rPr>
        <w:t xml:space="preserve">Step 1 — Load data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1E1E1E" w:val="clear"/>
            <w:tcMar>
              <w:top w:type="dxa" w:w="140"/>
              <w:left w:type="dxa" w:w="220"/>
              <w:bottom w:type="dxa" w:w="140"/>
              <w:right w:type="dxa" w:w="220"/>
            </w:tcMar>
          </w:tcPr>
          <w:p>
            <w:pPr>
              <w:spacing w:before="8" w:after="8"/>
            </w:pPr>
            <w:r>
              <w:rPr>
                <w:rFonts w:ascii="Courier New" w:cs="Courier New" w:eastAsia="Courier New" w:hAnsi="Courier New"/>
                <w:color w:val="6A9955"/>
                <w:sz w:val="17"/>
                <w:szCs w:val="17"/>
              </w:rPr>
              <w:t xml:space="preserve"># ── STEP 1: Load merged data ────────────────────────────────────────────────</w:t>
            </w:r>
          </w:p>
          <w:p>
            <w:pPr>
              <w:spacing w:before="8" w:after="8"/>
            </w:pPr>
            <w:r>
              <w:rPr>
                <w:rFonts w:ascii="Courier New" w:cs="Courier New" w:eastAsia="Courier New" w:hAnsi="Courier New"/>
                <w:color w:val="9CDCFE"/>
                <w:sz w:val="17"/>
                <w:szCs w:val="17"/>
              </w:rPr>
              <w:t xml:space="preserve">df = pd.read_excel('merged_coal_data_by_plant.xlsx', sheet_name=None)</w:t>
            </w:r>
          </w:p>
          <w:p>
            <w:pPr>
              <w:spacing w:before="8" w:after="8"/>
            </w:pPr>
            <w:r>
              <w:rPr>
                <w:rFonts w:ascii="Courier New" w:cs="Courier New" w:eastAsia="Courier New" w:hAnsi="Courier New"/>
                <w:color w:val="D4D4D4"/>
                <w:sz w:val="17"/>
                <w:szCs w:val="17"/>
              </w:rPr>
              <w:t xml:space="preserve"> </w:t>
            </w:r>
          </w:p>
        </w:tc>
      </w:tr>
    </w:tbl>
    <w:p>
      <w:pPr>
        <w:spacing w:before="80" w:after="80"/>
      </w:pPr>
      <w:r>
        <w:t xml:space="preserve"/>
      </w:r>
    </w:p>
    <w:p>
      <w:pPr>
        <w:spacing w:before="200" w:after="100"/>
      </w:pPr>
      <w:r>
        <w:rPr>
          <w:rFonts w:ascii="Arial" w:cs="Arial" w:eastAsia="Arial" w:hAnsi="Arial"/>
          <w:b/>
          <w:bCs/>
          <w:color w:val="2E4057"/>
          <w:sz w:val="24"/>
          <w:szCs w:val="24"/>
        </w:rPr>
        <w:t xml:space="preserve">Step 2 — Dynamic lead time (optional)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1E1E1E" w:val="clear"/>
            <w:tcMar>
              <w:top w:type="dxa" w:w="140"/>
              <w:left w:type="dxa" w:w="220"/>
              <w:bottom w:type="dxa" w:w="140"/>
              <w:right w:type="dxa" w:w="220"/>
            </w:tcMar>
          </w:tcPr>
          <w:p>
            <w:pPr>
              <w:spacing w:before="8" w:after="8"/>
            </w:pPr>
            <w:r>
              <w:rPr>
                <w:rFonts w:ascii="Courier New" w:cs="Courier New" w:eastAsia="Courier New" w:hAnsi="Courier New"/>
                <w:color w:val="6A9955"/>
                <w:sz w:val="17"/>
                <w:szCs w:val="17"/>
              </w:rPr>
              <w:t xml:space="preserve"># ── STEP 2 (Optional): Compute lead time from procurement file ──────────────</w:t>
            </w:r>
          </w:p>
          <w:p>
            <w:pPr>
              <w:spacing w:before="8" w:after="8"/>
            </w:pPr>
            <w:r>
              <w:rPr>
                <w:rFonts w:ascii="Courier New" w:cs="Courier New" w:eastAsia="Courier New" w:hAnsi="Courier New"/>
                <w:color w:val="6A9955"/>
                <w:sz w:val="17"/>
                <w:szCs w:val="17"/>
              </w:rPr>
              <w:t xml:space="preserve"># Uncomment below to replace the fixed LEAD_TIME_DAYS with data-driven value</w:t>
            </w:r>
          </w:p>
          <w:p>
            <w:pPr>
              <w:spacing w:before="8" w:after="8"/>
            </w:pPr>
            <w:r>
              <w:rPr>
                <w:rFonts w:ascii="Courier New" w:cs="Courier New" w:eastAsia="Courier New" w:hAnsi="Courier New"/>
                <w:color w:val="6A9955"/>
                <w:sz w:val="17"/>
                <w:szCs w:val="17"/>
              </w:rPr>
              <w:t xml:space="preserve">#</w:t>
            </w:r>
          </w:p>
          <w:p>
            <w:pPr>
              <w:spacing w:before="8" w:after="8"/>
            </w:pPr>
            <w:r>
              <w:rPr>
                <w:rFonts w:ascii="Courier New" w:cs="Courier New" w:eastAsia="Courier New" w:hAnsi="Courier New"/>
                <w:color w:val="6A9955"/>
                <w:sz w:val="17"/>
                <w:szCs w:val="17"/>
              </w:rPr>
              <w:t xml:space="preserve"># proc = pd.read_excel('master_coal_procurement_11_03_26.xlsx')</w:t>
            </w:r>
          </w:p>
          <w:p>
            <w:pPr>
              <w:spacing w:before="8" w:after="8"/>
            </w:pPr>
            <w:r>
              <w:rPr>
                <w:rFonts w:ascii="Courier New" w:cs="Courier New" w:eastAsia="Courier New" w:hAnsi="Courier New"/>
                <w:color w:val="6A9955"/>
                <w:sz w:val="17"/>
                <w:szCs w:val="17"/>
              </w:rPr>
              <w:t xml:space="preserve"># proc['rr_date']   = pd.to_datetime(proc['rr_date'])</w:t>
            </w:r>
          </w:p>
          <w:p>
            <w:pPr>
              <w:spacing w:before="8" w:after="8"/>
            </w:pPr>
            <w:r>
              <w:rPr>
                <w:rFonts w:ascii="Courier New" w:cs="Courier New" w:eastAsia="Courier New" w:hAnsi="Courier New"/>
                <w:color w:val="6A9955"/>
                <w:sz w:val="17"/>
                <w:szCs w:val="17"/>
              </w:rPr>
              <w:t xml:space="preserve"># proc['entry_dt']  = pd.to_datetime(proc['entry_dt'])</w:t>
            </w:r>
          </w:p>
          <w:p>
            <w:pPr>
              <w:spacing w:before="8" w:after="8"/>
            </w:pPr>
            <w:r>
              <w:rPr>
                <w:rFonts w:ascii="Courier New" w:cs="Courier New" w:eastAsia="Courier New" w:hAnsi="Courier New"/>
                <w:color w:val="6A9955"/>
                <w:sz w:val="17"/>
                <w:szCs w:val="17"/>
              </w:rPr>
              <w:t xml:space="preserve"># proc['lead_time'] = (proc['rr_date'] - proc['entry_dt']).dt.days</w:t>
            </w:r>
          </w:p>
          <w:p>
            <w:pPr>
              <w:spacing w:before="8" w:after="8"/>
            </w:pPr>
            <w:r>
              <w:rPr>
                <w:rFonts w:ascii="Courier New" w:cs="Courier New" w:eastAsia="Courier New" w:hAnsi="Courier New"/>
                <w:color w:val="6A9955"/>
                <w:sz w:val="17"/>
                <w:szCs w:val="17"/>
              </w:rPr>
              <w:t xml:space="preserve"># LEAD_TIME_DAYS    = proc.groupby('plant')['lead_time'].mean()</w:t>
            </w:r>
          </w:p>
          <w:p>
            <w:pPr>
              <w:spacing w:before="8" w:after="8"/>
            </w:pPr>
            <w:r>
              <w:rPr>
                <w:rFonts w:ascii="Courier New" w:cs="Courier New" w:eastAsia="Courier New" w:hAnsi="Courier New"/>
                <w:color w:val="6A9955"/>
                <w:sz w:val="17"/>
                <w:szCs w:val="17"/>
              </w:rPr>
              <w:t xml:space="preserve"># # → gives a dict: {'Barh': 6.8, 'Dadri': 7.2, 'Kudgi': 7.5}</w:t>
            </w:r>
          </w:p>
        </w:tc>
      </w:tr>
    </w:tbl>
    <w:p>
      <w:pPr>
        <w:spacing w:before="80" w:after="80"/>
      </w:pPr>
      <w:r>
        <w:t xml:space="preserve"/>
      </w:r>
    </w:p>
    <w:p>
      <w:pPr>
        <w:spacing w:before="200" w:after="100"/>
      </w:pPr>
      <w:r>
        <w:rPr>
          <w:rFonts w:ascii="Arial" w:cs="Arial" w:eastAsia="Arial" w:hAnsi="Arial"/>
          <w:b/>
          <w:bCs/>
          <w:color w:val="2E4057"/>
          <w:sz w:val="24"/>
          <w:szCs w:val="24"/>
        </w:rPr>
        <w:t xml:space="preserve">Step 3 — ROP calculation + Days of Stock + Alert flags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1E1E1E" w:val="clear"/>
            <w:tcMar>
              <w:top w:type="dxa" w:w="140"/>
              <w:left w:type="dxa" w:w="220"/>
              <w:bottom w:type="dxa" w:w="140"/>
              <w:right w:type="dxa" w:w="220"/>
            </w:tcMar>
          </w:tcPr>
          <w:p>
            <w:pPr>
              <w:spacing w:before="8" w:after="8"/>
            </w:pPr>
            <w:r>
              <w:rPr>
                <w:rFonts w:ascii="Courier New" w:cs="Courier New" w:eastAsia="Courier New" w:hAnsi="Courier New"/>
                <w:color w:val="6A9955"/>
                <w:sz w:val="17"/>
                <w:szCs w:val="17"/>
              </w:rPr>
              <w:t xml:space="preserve"># ── STEP 3: Calculate ROP for each plant ────────────────────────────────────</w:t>
            </w:r>
          </w:p>
          <w:p>
            <w:pPr>
              <w:spacing w:before="8" w:after="8"/>
            </w:pPr>
            <w:r>
              <w:rPr>
                <w:rFonts w:ascii="Courier New" w:cs="Courier New" w:eastAsia="Courier New" w:hAnsi="Courier New"/>
                <w:color w:val="9CDCFE"/>
                <w:sz w:val="17"/>
                <w:szCs w:val="17"/>
              </w:rPr>
              <w:t xml:space="preserve">results = {}</w:t>
            </w:r>
          </w:p>
          <w:p>
            <w:pPr>
              <w:spacing w:before="8" w:after="8"/>
            </w:pPr>
            <w:r>
              <w:rPr>
                <w:rFonts w:ascii="Courier New" w:cs="Courier New" w:eastAsia="Courier New" w:hAnsi="Courier New"/>
                <w:color w:val="D4D4D4"/>
                <w:sz w:val="17"/>
                <w:szCs w:val="17"/>
              </w:rPr>
              <w:t xml:space="preserve"> </w:t>
            </w:r>
          </w:p>
          <w:p>
            <w:pPr>
              <w:spacing w:before="8" w:after="8"/>
            </w:pPr>
            <w:r>
              <w:rPr>
                <w:rFonts w:ascii="Courier New" w:cs="Courier New" w:eastAsia="Courier New" w:hAnsi="Courier New"/>
                <w:color w:val="C586C0"/>
                <w:sz w:val="17"/>
                <w:szCs w:val="17"/>
              </w:rPr>
              <w:t xml:space="preserve">for plant, sheet_df in df.items():</w:t>
            </w:r>
          </w:p>
          <w:p>
            <w:pPr>
              <w:spacing w:before="8" w:after="8"/>
            </w:pPr>
            <w:r>
              <w:rPr>
                <w:rFonts w:ascii="Courier New" w:cs="Courier New" w:eastAsia="Courier New" w:hAnsi="Courier New"/>
                <w:color w:val="D4D4D4"/>
                <w:sz w:val="17"/>
                <w:szCs w:val="17"/>
              </w:rPr>
              <w:t xml:space="preserve"> </w:t>
            </w:r>
          </w:p>
          <w:p>
            <w:pPr>
              <w:spacing w:before="8" w:after="8"/>
            </w:pPr>
            <w:r>
              <w:rPr>
                <w:rFonts w:ascii="Courier New" w:cs="Courier New" w:eastAsia="Courier New" w:hAnsi="Courier New"/>
                <w:color w:val="9CDCFE"/>
                <w:sz w:val="17"/>
                <w:szCs w:val="17"/>
              </w:rPr>
              <w:t xml:space="preserve">    sheet_df = sheet_df.dropna(subset=['Consumption (MT)'])</w:t>
            </w:r>
          </w:p>
          <w:p>
            <w:pPr>
              <w:spacing w:before="8" w:after="8"/>
            </w:pPr>
            <w:r>
              <w:rPr>
                <w:rFonts w:ascii="Courier New" w:cs="Courier New" w:eastAsia="Courier New" w:hAnsi="Courier New"/>
                <w:color w:val="9CDCFE"/>
                <w:sz w:val="17"/>
                <w:szCs w:val="17"/>
              </w:rPr>
              <w:t xml:space="preserve">    sheet_df = sheet_df.sort_values('Date').reset_index(drop=True)</w:t>
            </w:r>
          </w:p>
          <w:p>
            <w:pPr>
              <w:spacing w:before="8" w:after="8"/>
            </w:pPr>
            <w:r>
              <w:rPr>
                <w:rFonts w:ascii="Courier New" w:cs="Courier New" w:eastAsia="Courier New" w:hAnsi="Courier New"/>
                <w:color w:val="D4D4D4"/>
                <w:sz w:val="17"/>
                <w:szCs w:val="17"/>
              </w:rPr>
              <w:t xml:space="preserve"> </w:t>
            </w:r>
          </w:p>
          <w:p>
            <w:pPr>
              <w:spacing w:before="8" w:after="8"/>
            </w:pPr>
            <w:r>
              <w:rPr>
                <w:rFonts w:ascii="Courier New" w:cs="Courier New" w:eastAsia="Courier New" w:hAnsi="Courier New"/>
                <w:color w:val="6A9955"/>
                <w:sz w:val="17"/>
                <w:szCs w:val="17"/>
              </w:rPr>
              <w:t xml:space="preserve">    # Use plant-specific lead time if computed from data, else use constant</w:t>
            </w:r>
          </w:p>
          <w:p>
            <w:pPr>
              <w:spacing w:before="8" w:after="8"/>
            </w:pPr>
            <w:r>
              <w:rPr>
                <w:rFonts w:ascii="Courier New" w:cs="Courier New" w:eastAsia="Courier New" w:hAnsi="Courier New"/>
                <w:color w:val="9CDCFE"/>
                <w:sz w:val="17"/>
                <w:szCs w:val="17"/>
              </w:rPr>
              <w:t xml:space="preserve">    lt = LEAD_TIME_DAYS[plant] if isinstance(LEAD_TIME_DAYS, dict) else LEAD_TIME_DAYS</w:t>
            </w:r>
          </w:p>
          <w:p>
            <w:pPr>
              <w:spacing w:before="8" w:after="8"/>
            </w:pPr>
            <w:r>
              <w:rPr>
                <w:rFonts w:ascii="Courier New" w:cs="Courier New" w:eastAsia="Courier New" w:hAnsi="Courier New"/>
                <w:color w:val="D4D4D4"/>
                <w:sz w:val="17"/>
                <w:szCs w:val="17"/>
              </w:rPr>
              <w:t xml:space="preserve"> </w:t>
            </w:r>
          </w:p>
          <w:p>
            <w:pPr>
              <w:spacing w:before="8" w:after="8"/>
            </w:pPr>
            <w:r>
              <w:rPr>
                <w:rFonts w:ascii="Courier New" w:cs="Courier New" w:eastAsia="Courier New" w:hAnsi="Courier New"/>
                <w:color w:val="9CDCFE"/>
                <w:sz w:val="17"/>
                <w:szCs w:val="17"/>
              </w:rPr>
              <w:t xml:space="preserve">    adc          = sheet_df['Consumption (MT)'].mean()           # Avg daily consumption</w:t>
            </w:r>
          </w:p>
          <w:p>
            <w:pPr>
              <w:spacing w:before="8" w:after="8"/>
            </w:pPr>
            <w:r>
              <w:rPr>
                <w:rFonts w:ascii="Courier New" w:cs="Courier New" w:eastAsia="Courier New" w:hAnsi="Courier New"/>
                <w:color w:val="9CDCFE"/>
                <w:sz w:val="17"/>
                <w:szCs w:val="17"/>
              </w:rPr>
              <w:t xml:space="preserve">    sigma        = sheet_df['Consumption (MT)'].std()            # Std deviation</w:t>
            </w:r>
          </w:p>
          <w:p>
            <w:pPr>
              <w:spacing w:before="8" w:after="8"/>
            </w:pPr>
            <w:r>
              <w:rPr>
                <w:rFonts w:ascii="Courier New" w:cs="Courier New" w:eastAsia="Courier New" w:hAnsi="Courier New"/>
                <w:color w:val="9CDCFE"/>
                <w:sz w:val="17"/>
                <w:szCs w:val="17"/>
              </w:rPr>
              <w:t xml:space="preserve">    safety_stock = Z_SCORE * sigma * np.sqrt(lt)                 # Safety stock</w:t>
            </w:r>
          </w:p>
          <w:p>
            <w:pPr>
              <w:spacing w:before="8" w:after="8"/>
            </w:pPr>
            <w:r>
              <w:rPr>
                <w:rFonts w:ascii="Courier New" w:cs="Courier New" w:eastAsia="Courier New" w:hAnsi="Courier New"/>
                <w:color w:val="9CDCFE"/>
                <w:sz w:val="17"/>
                <w:szCs w:val="17"/>
              </w:rPr>
              <w:t xml:space="preserve">    rop          = (adc * lt) + safety_stock                     # Re-Order Point</w:t>
            </w:r>
          </w:p>
          <w:p>
            <w:pPr>
              <w:spacing w:before="8" w:after="8"/>
            </w:pPr>
            <w:r>
              <w:rPr>
                <w:rFonts w:ascii="Courier New" w:cs="Courier New" w:eastAsia="Courier New" w:hAnsi="Courier New"/>
                <w:color w:val="D4D4D4"/>
                <w:sz w:val="17"/>
                <w:szCs w:val="17"/>
              </w:rPr>
              <w:t xml:space="preserve"> </w:t>
            </w:r>
          </w:p>
          <w:p>
            <w:pPr>
              <w:spacing w:before="8" w:after="8"/>
            </w:pPr>
            <w:r>
              <w:rPr>
                <w:rFonts w:ascii="Courier New" w:cs="Courier New" w:eastAsia="Courier New" w:hAnsi="Courier New"/>
                <w:color w:val="6A9955"/>
                <w:sz w:val="17"/>
                <w:szCs w:val="17"/>
              </w:rPr>
              <w:t xml:space="preserve">    # Days of Stock Remaining (operator-facing metric)</w:t>
            </w:r>
          </w:p>
          <w:p>
            <w:pPr>
              <w:spacing w:before="8" w:after="8"/>
            </w:pPr>
            <w:r>
              <w:rPr>
                <w:rFonts w:ascii="Courier New" w:cs="Courier New" w:eastAsia="Courier New" w:hAnsi="Courier New"/>
                <w:color w:val="9CDCFE"/>
                <w:sz w:val="17"/>
                <w:szCs w:val="17"/>
              </w:rPr>
              <w:t xml:space="preserve">    sheet_df['Days_of_Stock'] = (sheet_df['Stock (MT)'] / adc).round(1)</w:t>
            </w:r>
          </w:p>
          <w:p>
            <w:pPr>
              <w:spacing w:before="8" w:after="8"/>
            </w:pPr>
            <w:r>
              <w:rPr>
                <w:rFonts w:ascii="Courier New" w:cs="Courier New" w:eastAsia="Courier New" w:hAnsi="Courier New"/>
                <w:color w:val="D4D4D4"/>
                <w:sz w:val="17"/>
                <w:szCs w:val="17"/>
              </w:rPr>
              <w:t xml:space="preserve"> </w:t>
            </w:r>
          </w:p>
          <w:p>
            <w:pPr>
              <w:spacing w:before="8" w:after="8"/>
            </w:pPr>
            <w:r>
              <w:rPr>
                <w:rFonts w:ascii="Courier New" w:cs="Courier New" w:eastAsia="Courier New" w:hAnsi="Courier New"/>
                <w:color w:val="6A9955"/>
                <w:sz w:val="17"/>
                <w:szCs w:val="17"/>
              </w:rPr>
              <w:t xml:space="preserve">    # Alert flag — True when stock is at or below ROP</w:t>
            </w:r>
          </w:p>
          <w:p>
            <w:pPr>
              <w:spacing w:before="8" w:after="8"/>
            </w:pPr>
            <w:r>
              <w:rPr>
                <w:rFonts w:ascii="Courier New" w:cs="Courier New" w:eastAsia="Courier New" w:hAnsi="Courier New"/>
                <w:color w:val="9CDCFE"/>
                <w:sz w:val="17"/>
                <w:szCs w:val="17"/>
              </w:rPr>
              <w:t xml:space="preserve">    sheet_df['ROP_Level'] = round(rop, 2)</w:t>
            </w:r>
          </w:p>
          <w:p>
            <w:pPr>
              <w:spacing w:before="8" w:after="8"/>
            </w:pPr>
            <w:r>
              <w:rPr>
                <w:rFonts w:ascii="Courier New" w:cs="Courier New" w:eastAsia="Courier New" w:hAnsi="Courier New"/>
                <w:color w:val="9CDCFE"/>
                <w:sz w:val="17"/>
                <w:szCs w:val="17"/>
              </w:rPr>
              <w:t xml:space="preserve">    sheet_df['Alert']     = sheet_df['Stock (MT)'] &lt;= rop</w:t>
            </w:r>
          </w:p>
          <w:p>
            <w:pPr>
              <w:spacing w:before="8" w:after="8"/>
            </w:pPr>
            <w:r>
              <w:rPr>
                <w:rFonts w:ascii="Courier New" w:cs="Courier New" w:eastAsia="Courier New" w:hAnsi="Courier New"/>
                <w:color w:val="D4D4D4"/>
                <w:sz w:val="17"/>
                <w:szCs w:val="17"/>
              </w:rPr>
              <w:t xml:space="preserve"> </w:t>
            </w:r>
          </w:p>
          <w:p>
            <w:pPr>
              <w:spacing w:before="8" w:after="8"/>
            </w:pPr>
            <w:r>
              <w:rPr>
                <w:rFonts w:ascii="Courier New" w:cs="Courier New" w:eastAsia="Courier New" w:hAnsi="Courier New"/>
                <w:color w:val="9CDCFE"/>
                <w:sz w:val="17"/>
                <w:szCs w:val="17"/>
              </w:rPr>
              <w:t xml:space="preserve">    results[plant] = {</w:t>
            </w:r>
          </w:p>
          <w:p>
            <w:pPr>
              <w:spacing w:before="8" w:after="8"/>
            </w:pPr>
            <w:r>
              <w:rPr>
                <w:rFonts w:ascii="Courier New" w:cs="Courier New" w:eastAsia="Courier New" w:hAnsi="Courier New"/>
                <w:color w:val="D4D4D4"/>
                <w:sz w:val="17"/>
                <w:szCs w:val="17"/>
              </w:rPr>
              <w:t xml:space="preserve">        'ADC (MT/day)':       round(adc, 2),</w:t>
            </w:r>
          </w:p>
          <w:p>
            <w:pPr>
              <w:spacing w:before="8" w:after="8"/>
            </w:pPr>
            <w:r>
              <w:rPr>
                <w:rFonts w:ascii="Courier New" w:cs="Courier New" w:eastAsia="Courier New" w:hAnsi="Courier New"/>
                <w:color w:val="D4D4D4"/>
                <w:sz w:val="17"/>
                <w:szCs w:val="17"/>
              </w:rPr>
              <w:t xml:space="preserve">        'Std Dev (MT)':       round(sigma, 2),</w:t>
            </w:r>
          </w:p>
          <w:p>
            <w:pPr>
              <w:spacing w:before="8" w:after="8"/>
            </w:pPr>
            <w:r>
              <w:rPr>
                <w:rFonts w:ascii="Courier New" w:cs="Courier New" w:eastAsia="Courier New" w:hAnsi="Courier New"/>
                <w:color w:val="D4D4D4"/>
                <w:sz w:val="17"/>
                <w:szCs w:val="17"/>
              </w:rPr>
              <w:t xml:space="preserve">        'Lead Time (days)':   round(lt, 1),</w:t>
            </w:r>
          </w:p>
          <w:p>
            <w:pPr>
              <w:spacing w:before="8" w:after="8"/>
            </w:pPr>
            <w:r>
              <w:rPr>
                <w:rFonts w:ascii="Courier New" w:cs="Courier New" w:eastAsia="Courier New" w:hAnsi="Courier New"/>
                <w:color w:val="D4D4D4"/>
                <w:sz w:val="17"/>
                <w:szCs w:val="17"/>
              </w:rPr>
              <w:t xml:space="preserve">        'Safety Stock (MT)':  round(safety_stock, 2),</w:t>
            </w:r>
          </w:p>
          <w:p>
            <w:pPr>
              <w:spacing w:before="8" w:after="8"/>
            </w:pPr>
            <w:r>
              <w:rPr>
                <w:rFonts w:ascii="Courier New" w:cs="Courier New" w:eastAsia="Courier New" w:hAnsi="Courier New"/>
                <w:color w:val="D4D4D4"/>
                <w:sz w:val="17"/>
                <w:szCs w:val="17"/>
              </w:rPr>
              <w:t xml:space="preserve">        'ROP (MT)':           round(rop, 2),</w:t>
            </w:r>
          </w:p>
          <w:p>
            <w:pPr>
              <w:spacing w:before="8" w:after="8"/>
            </w:pPr>
            <w:r>
              <w:rPr>
                <w:rFonts w:ascii="Courier New" w:cs="Courier New" w:eastAsia="Courier New" w:hAnsi="Courier New"/>
                <w:color w:val="D4D4D4"/>
                <w:sz w:val="17"/>
                <w:szCs w:val="17"/>
              </w:rPr>
              <w:t xml:space="preserve">    }</w:t>
            </w:r>
          </w:p>
          <w:p>
            <w:pPr>
              <w:spacing w:before="8" w:after="8"/>
            </w:pPr>
            <w:r>
              <w:rPr>
                <w:rFonts w:ascii="Courier New" w:cs="Courier New" w:eastAsia="Courier New" w:hAnsi="Courier New"/>
                <w:color w:val="D4D4D4"/>
                <w:sz w:val="17"/>
                <w:szCs w:val="17"/>
              </w:rPr>
              <w:t xml:space="preserve"> </w:t>
            </w:r>
          </w:p>
          <w:p>
            <w:pPr>
              <w:spacing w:before="8" w:after="8"/>
            </w:pPr>
            <w:r>
              <w:rPr>
                <w:rFonts w:ascii="Courier New" w:cs="Courier New" w:eastAsia="Courier New" w:hAnsi="Courier New"/>
                <w:color w:val="6A9955"/>
                <w:sz w:val="17"/>
                <w:szCs w:val="17"/>
              </w:rPr>
              <w:t xml:space="preserve">    # Save critical-day alerts to CSV</w:t>
            </w:r>
          </w:p>
          <w:p>
            <w:pPr>
              <w:spacing w:before="8" w:after="8"/>
            </w:pPr>
            <w:r>
              <w:rPr>
                <w:rFonts w:ascii="Courier New" w:cs="Courier New" w:eastAsia="Courier New" w:hAnsi="Courier New"/>
                <w:color w:val="9CDCFE"/>
                <w:sz w:val="17"/>
                <w:szCs w:val="17"/>
              </w:rPr>
              <w:t xml:space="preserve">    alerts = sheet_df[sheet_df['Alert']][['Date','Stock (MT)','ROP_Level','Days_of_Stock']]</w:t>
            </w:r>
          </w:p>
          <w:p>
            <w:pPr>
              <w:spacing w:before="8" w:after="8"/>
            </w:pPr>
            <w:r>
              <w:rPr>
                <w:rFonts w:ascii="Courier New" w:cs="Courier New" w:eastAsia="Courier New" w:hAnsi="Courier New"/>
                <w:color w:val="D4D4D4"/>
                <w:sz w:val="17"/>
                <w:szCs w:val="17"/>
              </w:rPr>
              <w:t xml:space="preserve">    alerts.to_csv(f'alerts_{plant}.csv', index=False)</w:t>
            </w:r>
          </w:p>
          <w:p>
            <w:pPr>
              <w:spacing w:before="8" w:after="8"/>
            </w:pPr>
            <w:r>
              <w:rPr>
                <w:rFonts w:ascii="Courier New" w:cs="Courier New" w:eastAsia="Courier New" w:hAnsi="Courier New"/>
                <w:color w:val="9CDCFE"/>
                <w:sz w:val="17"/>
                <w:szCs w:val="17"/>
              </w:rPr>
              <w:t xml:space="preserve">    print(f'{plant}: {len(alerts)} alert days | ROP = {rop:,.0f} MT')</w:t>
            </w:r>
          </w:p>
        </w:tc>
      </w:tr>
    </w:tbl>
    <w:p>
      <w:pPr>
        <w:spacing w:before="80" w:after="80"/>
      </w:pPr>
      <w:r>
        <w:t xml:space="preserve"/>
      </w:r>
    </w:p>
    <w:p>
      <w:pPr>
        <w:spacing w:before="200" w:after="100"/>
      </w:pPr>
      <w:r>
        <w:rPr>
          <w:rFonts w:ascii="Arial" w:cs="Arial" w:eastAsia="Arial" w:hAnsi="Arial"/>
          <w:b/>
          <w:bCs/>
          <w:color w:val="2E4057"/>
          <w:sz w:val="24"/>
          <w:szCs w:val="24"/>
        </w:rPr>
        <w:t xml:space="preserve">Step 4 — Export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1E1E1E" w:val="clear"/>
            <w:tcMar>
              <w:top w:type="dxa" w:w="140"/>
              <w:left w:type="dxa" w:w="220"/>
              <w:bottom w:type="dxa" w:w="140"/>
              <w:right w:type="dxa" w:w="220"/>
            </w:tcMar>
          </w:tcPr>
          <w:p>
            <w:pPr>
              <w:spacing w:before="8" w:after="8"/>
            </w:pPr>
            <w:r>
              <w:rPr>
                <w:rFonts w:ascii="Courier New" w:cs="Courier New" w:eastAsia="Courier New" w:hAnsi="Courier New"/>
                <w:color w:val="6A9955"/>
                <w:sz w:val="17"/>
                <w:szCs w:val="17"/>
              </w:rPr>
              <w:t xml:space="preserve"># ── STEP 4: Export ──────────────────────────────────────────────────────────</w:t>
            </w:r>
          </w:p>
          <w:p>
            <w:pPr>
              <w:spacing w:before="8" w:after="8"/>
            </w:pPr>
            <w:r>
              <w:rPr>
                <w:rFonts w:ascii="Courier New" w:cs="Courier New" w:eastAsia="Courier New" w:hAnsi="Courier New"/>
                <w:color w:val="9CDCFE"/>
                <w:sz w:val="17"/>
                <w:szCs w:val="17"/>
              </w:rPr>
              <w:t xml:space="preserve">summary = pd.DataFrame(results).T</w:t>
            </w:r>
          </w:p>
          <w:p>
            <w:pPr>
              <w:spacing w:before="8" w:after="8"/>
            </w:pPr>
            <w:r>
              <w:rPr>
                <w:rFonts w:ascii="Courier New" w:cs="Courier New" w:eastAsia="Courier New" w:hAnsi="Courier New"/>
                <w:color w:val="9CDCFE"/>
                <w:sz w:val="17"/>
                <w:szCs w:val="17"/>
              </w:rPr>
              <w:t xml:space="preserve">print('\n=== ROP Summary ===\n', summary.to_string())</w:t>
            </w:r>
          </w:p>
          <w:p>
            <w:pPr>
              <w:spacing w:before="8" w:after="8"/>
            </w:pPr>
            <w:r>
              <w:rPr>
                <w:rFonts w:ascii="Courier New" w:cs="Courier New" w:eastAsia="Courier New" w:hAnsi="Courier New"/>
                <w:color w:val="D4D4D4"/>
                <w:sz w:val="17"/>
                <w:szCs w:val="17"/>
              </w:rPr>
              <w:t xml:space="preserve"> </w:t>
            </w:r>
          </w:p>
          <w:p>
            <w:pPr>
              <w:spacing w:before="8" w:after="8"/>
            </w:pPr>
            <w:r>
              <w:rPr>
                <w:rFonts w:ascii="Courier New" w:cs="Courier New" w:eastAsia="Courier New" w:hAnsi="Courier New"/>
                <w:color w:val="C586C0"/>
                <w:sz w:val="17"/>
                <w:szCs w:val="17"/>
              </w:rPr>
              <w:t xml:space="preserve">with pd.ExcelWriter('rop_analysis_output.xlsx', engine='openpyxl') as writer:</w:t>
            </w:r>
          </w:p>
          <w:p>
            <w:pPr>
              <w:spacing w:before="8" w:after="8"/>
            </w:pPr>
            <w:r>
              <w:rPr>
                <w:rFonts w:ascii="Courier New" w:cs="Courier New" w:eastAsia="Courier New" w:hAnsi="Courier New"/>
                <w:color w:val="D4D4D4"/>
                <w:sz w:val="17"/>
                <w:szCs w:val="17"/>
              </w:rPr>
              <w:t xml:space="preserve">    summary.to_excel(writer, sheet_name='ROP_Summary')</w:t>
            </w:r>
          </w:p>
          <w:p>
            <w:pPr>
              <w:spacing w:before="8" w:after="8"/>
            </w:pPr>
            <w:r>
              <w:rPr>
                <w:rFonts w:ascii="Courier New" w:cs="Courier New" w:eastAsia="Courier New" w:hAnsi="Courier New"/>
                <w:color w:val="C586C0"/>
                <w:sz w:val="17"/>
                <w:szCs w:val="17"/>
              </w:rPr>
              <w:t xml:space="preserve">    for plant, sheet_df in df.items():</w:t>
            </w:r>
          </w:p>
          <w:p>
            <w:pPr>
              <w:spacing w:before="8" w:after="8"/>
            </w:pPr>
            <w:r>
              <w:rPr>
                <w:rFonts w:ascii="Courier New" w:cs="Courier New" w:eastAsia="Courier New" w:hAnsi="Courier New"/>
                <w:color w:val="9CDCFE"/>
                <w:sz w:val="17"/>
                <w:szCs w:val="17"/>
              </w:rPr>
              <w:t xml:space="preserve">        sheet_df['ROP_Level']     = results[plant]['ROP (MT)']</w:t>
            </w:r>
          </w:p>
          <w:p>
            <w:pPr>
              <w:spacing w:before="8" w:after="8"/>
            </w:pPr>
            <w:r>
              <w:rPr>
                <w:rFonts w:ascii="Courier New" w:cs="Courier New" w:eastAsia="Courier New" w:hAnsi="Courier New"/>
                <w:color w:val="9CDCFE"/>
                <w:sz w:val="17"/>
                <w:szCs w:val="17"/>
              </w:rPr>
              <w:t xml:space="preserve">        sheet_df['Alert']         = sheet_df['Stock (MT)'] &lt;= results[plant]['ROP (MT)']</w:t>
            </w:r>
          </w:p>
          <w:p>
            <w:pPr>
              <w:spacing w:before="8" w:after="8"/>
            </w:pPr>
            <w:r>
              <w:rPr>
                <w:rFonts w:ascii="Courier New" w:cs="Courier New" w:eastAsia="Courier New" w:hAnsi="Courier New"/>
                <w:color w:val="9CDCFE"/>
                <w:sz w:val="17"/>
                <w:szCs w:val="17"/>
              </w:rPr>
              <w:t xml:space="preserve">        sheet_df['Days_of_Stock'] = (sheet_df['Stock (MT)'] /</w:t>
            </w:r>
          </w:p>
          <w:p>
            <w:pPr>
              <w:spacing w:before="8" w:after="8"/>
            </w:pPr>
            <w:r>
              <w:rPr>
                <w:rFonts w:ascii="Courier New" w:cs="Courier New" w:eastAsia="Courier New" w:hAnsi="Courier New"/>
                <w:color w:val="D4D4D4"/>
                <w:sz w:val="17"/>
                <w:szCs w:val="17"/>
              </w:rPr>
              <w:t xml:space="preserve">                                     results[plant]['ADC (MT/day)']).round(1)</w:t>
            </w:r>
          </w:p>
          <w:p>
            <w:pPr>
              <w:spacing w:before="8" w:after="8"/>
            </w:pPr>
            <w:r>
              <w:rPr>
                <w:rFonts w:ascii="Courier New" w:cs="Courier New" w:eastAsia="Courier New" w:hAnsi="Courier New"/>
                <w:color w:val="D4D4D4"/>
                <w:sz w:val="17"/>
                <w:szCs w:val="17"/>
              </w:rPr>
              <w:t xml:space="preserve">        sheet_df.to_excel(writer, sheet_name=plant, index=False)</w:t>
            </w:r>
          </w:p>
          <w:p>
            <w:pPr>
              <w:spacing w:before="8" w:after="8"/>
            </w:pPr>
            <w:r>
              <w:rPr>
                <w:rFonts w:ascii="Courier New" w:cs="Courier New" w:eastAsia="Courier New" w:hAnsi="Courier New"/>
                <w:color w:val="D4D4D4"/>
                <w:sz w:val="17"/>
                <w:szCs w:val="17"/>
              </w:rPr>
              <w:t xml:space="preserve"> </w:t>
            </w:r>
          </w:p>
          <w:p>
            <w:pPr>
              <w:spacing w:before="8" w:after="8"/>
            </w:pPr>
            <w:r>
              <w:rPr>
                <w:rFonts w:ascii="Courier New" w:cs="Courier New" w:eastAsia="Courier New" w:hAnsi="Courier New"/>
                <w:color w:val="9CDCFE"/>
                <w:sz w:val="17"/>
                <w:szCs w:val="17"/>
              </w:rPr>
              <w:t xml:space="preserve">print('\nSaved: rop_analysis_output.xlsx')</w:t>
            </w:r>
          </w:p>
        </w:tc>
      </w:tr>
    </w:tbl>
    <w:p>
      <w:pPr>
        <w:spacing w:before="80" w:after="80"/>
      </w:pPr>
      <w:r>
        <w:t xml:space="preserve"/>
      </w:r>
    </w:p>
    <w:p>
      <w:pPr>
        <w:pBdr>
          <w:bottom w:val="single" w:color="2E75B6" w:sz="4" w:space="1"/>
        </w:pBdr>
        <w:spacing w:before="120" w:after="120"/>
      </w:pPr>
      <w:r>
        <w:t xml:space="preserve"/>
      </w:r>
    </w:p>
    <w:p>
      <w:pPr>
        <w:pStyle w:val="Heading1"/>
        <w:spacing w:before="320" w:after="160"/>
      </w:pPr>
      <w:r>
        <w:rPr>
          <w:rFonts w:ascii="Arial" w:cs="Arial" w:eastAsia="Arial" w:hAnsi="Arial"/>
          <w:b/>
          <w:bCs/>
          <w:color w:val="1F4E79"/>
          <w:sz w:val="36"/>
          <w:szCs w:val="36"/>
        </w:rPr>
        <w:t xml:space="preserve">8. Outputs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1F4E79" w:sz="1"/>
              <w:left w:val="single" w:color="1F4E79" w:sz="1"/>
              <w:bottom w:val="single" w:color="1F4E79" w:sz="1"/>
              <w:right w:val="single" w:color="1F4E79" w:sz="1"/>
            </w:tcBorders>
            <w:shd w:fill="1F4E79" w:val="clear"/>
            <w:tcMar>
              <w:top w:type="dxa" w:w="100"/>
              <w:left w:type="dxa" w:w="120"/>
              <w:bottom w:type="dxa" w:w="100"/>
              <w:right w:type="dxa" w:w="120"/>
            </w:tcMar>
          </w:tcPr>
          <w:p>
            <w:pPr>
              <w:jc w:val="center"/>
            </w:pPr>
            <w:r>
              <w:rPr>
                <w:rFonts w:ascii="Arial" w:cs="Arial" w:eastAsia="Arial" w:hAnsi="Arial"/>
                <w:b/>
                <w:bCs/>
                <w:color w:val="FFFFFF"/>
                <w:sz w:val="20"/>
                <w:szCs w:val="20"/>
              </w:rPr>
              <w:t xml:space="preserve">Output file</w:t>
            </w:r>
          </w:p>
        </w:tc>
        <w:tc>
          <w:tcPr>
            <w:tcW w:type="dxa" w:w="6560"/>
            <w:tcBorders>
              <w:top w:val="single" w:color="1F4E79" w:sz="1"/>
              <w:left w:val="single" w:color="1F4E79" w:sz="1"/>
              <w:bottom w:val="single" w:color="1F4E79" w:sz="1"/>
              <w:right w:val="single" w:color="1F4E79" w:sz="1"/>
            </w:tcBorders>
            <w:shd w:fill="1F4E79" w:val="clear"/>
            <w:tcMar>
              <w:top w:type="dxa" w:w="100"/>
              <w:left w:type="dxa" w:w="120"/>
              <w:bottom w:type="dxa" w:w="100"/>
              <w:right w:type="dxa" w:w="120"/>
            </w:tcMar>
          </w:tcPr>
          <w:p>
            <w:pPr>
              <w:jc w:val="center"/>
            </w:pPr>
            <w:r>
              <w:rPr>
                <w:rFonts w:ascii="Arial" w:cs="Arial" w:eastAsia="Arial" w:hAnsi="Arial"/>
                <w:b/>
                <w:bCs/>
                <w:color w:val="FFFFFF"/>
                <w:sz w:val="20"/>
                <w:szCs w:val="20"/>
              </w:rPr>
              <w:t xml:space="preserve">Contents</w:t>
            </w:r>
          </w:p>
        </w:tc>
      </w:tr>
      <w:tr>
        <w:tc>
          <w:tcPr>
            <w:tcW w:type="dxa" w:w="28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color w:val="000000"/>
                <w:sz w:val="20"/>
                <w:szCs w:val="20"/>
              </w:rPr>
              <w:t xml:space="preserve">rop_analysis_output.xlsx</w:t>
            </w:r>
          </w:p>
        </w:tc>
        <w:tc>
          <w:tcPr>
            <w:tcW w:type="dxa" w:w="656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val="false"/>
                <w:bCs w:val="false"/>
                <w:color w:val="000000"/>
                <w:sz w:val="20"/>
                <w:szCs w:val="20"/>
              </w:rPr>
              <w:t xml:space="preserve">ROP_Summary sheet + Barh/Dadri/Kudgi sheets with ROP_Level, Alert, Days_of_Stock columns</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000000"/>
                <w:sz w:val="20"/>
                <w:szCs w:val="20"/>
              </w:rPr>
              <w:t xml:space="preserve">alerts_Barh.csv</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Only dates where Barh stock was at or below ROP level</w:t>
            </w:r>
          </w:p>
        </w:tc>
      </w:tr>
      <w:tr>
        <w:tc>
          <w:tcPr>
            <w:tcW w:type="dxa" w:w="28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color w:val="000000"/>
                <w:sz w:val="20"/>
                <w:szCs w:val="20"/>
              </w:rPr>
              <w:t xml:space="preserve">alerts_Dadri.csv</w:t>
            </w:r>
          </w:p>
        </w:tc>
        <w:tc>
          <w:tcPr>
            <w:tcW w:type="dxa" w:w="656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val="false"/>
                <w:bCs w:val="false"/>
                <w:color w:val="000000"/>
                <w:sz w:val="20"/>
                <w:szCs w:val="20"/>
              </w:rPr>
              <w:t xml:space="preserve">Only dates where Dadri stock was at or below ROP level</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000000"/>
                <w:sz w:val="20"/>
                <w:szCs w:val="20"/>
              </w:rPr>
              <w:t xml:space="preserve">alerts_Kudgi.csv</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Only dates where Kudgi stock was at or below ROP level</w:t>
            </w:r>
          </w:p>
        </w:tc>
      </w:tr>
      <w:tr>
        <w:tc>
          <w:tcPr>
            <w:tcW w:type="dxa" w:w="28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color w:val="000000"/>
                <w:sz w:val="20"/>
                <w:szCs w:val="20"/>
              </w:rPr>
              <w:t xml:space="preserve">Console output</w:t>
            </w:r>
          </w:p>
        </w:tc>
        <w:tc>
          <w:tcPr>
            <w:tcW w:type="dxa" w:w="656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val="false"/>
                <w:bCs w:val="false"/>
                <w:color w:val="000000"/>
                <w:sz w:val="20"/>
                <w:szCs w:val="20"/>
              </w:rPr>
              <w:t xml:space="preserve">Alert day count per plant, ROP values, and full summary table</w:t>
            </w:r>
          </w:p>
        </w:tc>
      </w:tr>
    </w:tbl>
    <w:p>
      <w:pPr>
        <w:spacing w:before="80" w:after="80"/>
      </w:pPr>
      <w:r>
        <w:t xml:space="preserve"/>
      </w:r>
    </w:p>
    <w:p>
      <w:pPr>
        <w:pBdr>
          <w:bottom w:val="single" w:color="2E75B6" w:sz="4" w:space="1"/>
        </w:pBdr>
        <w:spacing w:before="120" w:after="120"/>
      </w:pPr>
      <w:r>
        <w:t xml:space="preserve"/>
      </w:r>
    </w:p>
    <w:p>
      <w:pPr>
        <w:pStyle w:val="Heading1"/>
        <w:spacing w:before="320" w:after="160"/>
      </w:pPr>
      <w:r>
        <w:rPr>
          <w:rFonts w:ascii="Arial" w:cs="Arial" w:eastAsia="Arial" w:hAnsi="Arial"/>
          <w:b/>
          <w:bCs/>
          <w:color w:val="1F4E79"/>
          <w:sz w:val="36"/>
          <w:szCs w:val="36"/>
        </w:rPr>
        <w:t xml:space="preserve">9. Parameters to Tune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1600"/>
        <w:gridCol w:w="2200"/>
        <w:gridCol w:w="3160"/>
      </w:tblGrid>
      <w:tr>
        <w:tc>
          <w:tcPr>
            <w:tcW w:type="dxa" w:w="2400"/>
            <w:tcBorders>
              <w:top w:val="single" w:color="1F4E79" w:sz="1"/>
              <w:left w:val="single" w:color="1F4E79" w:sz="1"/>
              <w:bottom w:val="single" w:color="1F4E79" w:sz="1"/>
              <w:right w:val="single" w:color="1F4E79" w:sz="1"/>
            </w:tcBorders>
            <w:shd w:fill="1F4E79" w:val="clear"/>
            <w:tcMar>
              <w:top w:type="dxa" w:w="100"/>
              <w:left w:type="dxa" w:w="120"/>
              <w:bottom w:type="dxa" w:w="100"/>
              <w:right w:type="dxa" w:w="120"/>
            </w:tcMar>
          </w:tcPr>
          <w:p>
            <w:pPr>
              <w:jc w:val="center"/>
            </w:pPr>
            <w:r>
              <w:rPr>
                <w:rFonts w:ascii="Arial" w:cs="Arial" w:eastAsia="Arial" w:hAnsi="Arial"/>
                <w:b/>
                <w:bCs/>
                <w:color w:val="FFFFFF"/>
                <w:sz w:val="20"/>
                <w:szCs w:val="20"/>
              </w:rPr>
              <w:t xml:space="preserve">Parameter</w:t>
            </w:r>
          </w:p>
        </w:tc>
        <w:tc>
          <w:tcPr>
            <w:tcW w:type="dxa" w:w="1600"/>
            <w:tcBorders>
              <w:top w:val="single" w:color="1F4E79" w:sz="1"/>
              <w:left w:val="single" w:color="1F4E79" w:sz="1"/>
              <w:bottom w:val="single" w:color="1F4E79" w:sz="1"/>
              <w:right w:val="single" w:color="1F4E79" w:sz="1"/>
            </w:tcBorders>
            <w:shd w:fill="1F4E79" w:val="clear"/>
            <w:tcMar>
              <w:top w:type="dxa" w:w="100"/>
              <w:left w:type="dxa" w:w="120"/>
              <w:bottom w:type="dxa" w:w="100"/>
              <w:right w:type="dxa" w:w="120"/>
            </w:tcMar>
          </w:tcPr>
          <w:p>
            <w:pPr>
              <w:jc w:val="center"/>
            </w:pPr>
            <w:r>
              <w:rPr>
                <w:rFonts w:ascii="Arial" w:cs="Arial" w:eastAsia="Arial" w:hAnsi="Arial"/>
                <w:b/>
                <w:bCs/>
                <w:color w:val="FFFFFF"/>
                <w:sz w:val="20"/>
                <w:szCs w:val="20"/>
              </w:rPr>
              <w:t xml:space="preserve">Default</w:t>
            </w:r>
          </w:p>
        </w:tc>
        <w:tc>
          <w:tcPr>
            <w:tcW w:type="dxa" w:w="2200"/>
            <w:tcBorders>
              <w:top w:val="single" w:color="1F4E79" w:sz="1"/>
              <w:left w:val="single" w:color="1F4E79" w:sz="1"/>
              <w:bottom w:val="single" w:color="1F4E79" w:sz="1"/>
              <w:right w:val="single" w:color="1F4E79" w:sz="1"/>
            </w:tcBorders>
            <w:shd w:fill="1F4E79" w:val="clear"/>
            <w:tcMar>
              <w:top w:type="dxa" w:w="100"/>
              <w:left w:type="dxa" w:w="120"/>
              <w:bottom w:type="dxa" w:w="100"/>
              <w:right w:type="dxa" w:w="120"/>
            </w:tcMar>
          </w:tcPr>
          <w:p>
            <w:pPr>
              <w:jc w:val="center"/>
            </w:pPr>
            <w:r>
              <w:rPr>
                <w:rFonts w:ascii="Arial" w:cs="Arial" w:eastAsia="Arial" w:hAnsi="Arial"/>
                <w:b/>
                <w:bCs/>
                <w:color w:val="FFFFFF"/>
                <w:sz w:val="20"/>
                <w:szCs w:val="20"/>
              </w:rPr>
              <w:t xml:space="preserve">Change when…</w:t>
            </w:r>
          </w:p>
        </w:tc>
        <w:tc>
          <w:tcPr>
            <w:tcW w:type="dxa" w:w="3160"/>
            <w:tcBorders>
              <w:top w:val="single" w:color="1F4E79" w:sz="1"/>
              <w:left w:val="single" w:color="1F4E79" w:sz="1"/>
              <w:bottom w:val="single" w:color="1F4E79" w:sz="1"/>
              <w:right w:val="single" w:color="1F4E79" w:sz="1"/>
            </w:tcBorders>
            <w:shd w:fill="1F4E79" w:val="clear"/>
            <w:tcMar>
              <w:top w:type="dxa" w:w="100"/>
              <w:left w:type="dxa" w:w="120"/>
              <w:bottom w:type="dxa" w:w="100"/>
              <w:right w:type="dxa" w:w="120"/>
            </w:tcMar>
          </w:tcPr>
          <w:p>
            <w:pPr>
              <w:jc w:val="center"/>
            </w:pPr>
            <w:r>
              <w:rPr>
                <w:rFonts w:ascii="Arial" w:cs="Arial" w:eastAsia="Arial" w:hAnsi="Arial"/>
                <w:b/>
                <w:bCs/>
                <w:color w:val="FFFFFF"/>
                <w:sz w:val="20"/>
                <w:szCs w:val="20"/>
              </w:rPr>
              <w:t xml:space="preserve">Effect</w:t>
            </w:r>
          </w:p>
        </w:tc>
      </w:tr>
      <w:tr>
        <w:tc>
          <w:tcPr>
            <w:tcW w:type="dxa" w:w="24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color w:val="000000"/>
                <w:sz w:val="20"/>
                <w:szCs w:val="20"/>
              </w:rPr>
              <w:t xml:space="preserve">LEAD_TIME_DAYS</w:t>
            </w:r>
          </w:p>
        </w:tc>
        <w:tc>
          <w:tcPr>
            <w:tcW w:type="dxa" w:w="16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val="false"/>
                <w:bCs w:val="false"/>
                <w:color w:val="000000"/>
                <w:sz w:val="20"/>
                <w:szCs w:val="20"/>
              </w:rPr>
              <w:t xml:space="preserve">7</w:t>
            </w:r>
          </w:p>
        </w:tc>
        <w:tc>
          <w:tcPr>
            <w:tcW w:type="dxa" w:w="22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val="false"/>
                <w:bCs w:val="false"/>
                <w:color w:val="000000"/>
                <w:sz w:val="20"/>
                <w:szCs w:val="20"/>
              </w:rPr>
              <w:t xml:space="preserve">Rail logistics change</w:t>
            </w:r>
          </w:p>
        </w:tc>
        <w:tc>
          <w:tcPr>
            <w:tcW w:type="dxa" w:w="316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val="false"/>
                <w:bCs w:val="false"/>
                <w:color w:val="000000"/>
                <w:sz w:val="20"/>
                <w:szCs w:val="20"/>
              </w:rPr>
              <w:t xml:space="preserve">Higher = larger ROP (more buffer)</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000000"/>
                <w:sz w:val="20"/>
                <w:szCs w:val="20"/>
              </w:rPr>
              <w:t xml:space="preserve">SERVICE_LEVEL</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0.95 (95%)</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Risk tolerance changes</w:t>
            </w:r>
          </w:p>
        </w:tc>
        <w:tc>
          <w:tcPr>
            <w:tcW w:type="dxa" w:w="3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Higher = more safety stock</w:t>
            </w:r>
          </w:p>
        </w:tc>
      </w:tr>
    </w:tbl>
    <w:p>
      <w:pPr>
        <w:spacing w:before="80" w:after="80"/>
      </w:pPr>
      <w:r>
        <w:t xml:space="preserve"/>
      </w:r>
    </w:p>
    <w:p>
      <w:pPr>
        <w:pBdr>
          <w:left w:val="single" w:color="E67E22" w:sz="14" w:space="8"/>
        </w:pBdr>
        <w:shd w:fill="FFF9E6" w:val="clear"/>
        <w:spacing w:before="120" w:after="120"/>
        <w:ind w:left="360" w:right="360"/>
      </w:pPr>
      <w:r>
        <w:rPr>
          <w:rFonts w:ascii="Arial" w:cs="Arial" w:eastAsia="Arial" w:hAnsi="Arial"/>
          <w:b/>
          <w:bCs/>
          <w:color w:val="E67E22"/>
          <w:sz w:val="22"/>
          <w:szCs w:val="22"/>
        </w:rPr>
        <w:t xml:space="preserve">Recommendation: </w:t>
      </w:r>
      <w:r>
        <w:rPr>
          <w:rFonts w:ascii="Arial" w:cs="Arial" w:eastAsia="Arial" w:hAnsi="Arial"/>
          <w:sz w:val="22"/>
          <w:szCs w:val="22"/>
        </w:rPr>
        <w:t xml:space="preserve">For critical plants (Barh, Kudgi), consider SERVICE_LEVEL = 0.99 to ensure a 99% probability of no stock-out. This raises safety stock but eliminates shutdown risk.</w:t>
      </w:r>
    </w:p>
    <w:p>
      <w:pPr>
        <w:spacing w:before="80" w:after="80"/>
      </w:pPr>
      <w:r>
        <w:t xml:space="preserve"/>
      </w:r>
    </w:p>
    <w:p>
      <w:pPr>
        <w:pBdr>
          <w:bottom w:val="single" w:color="2E75B6" w:sz="4" w:space="1"/>
        </w:pBdr>
        <w:spacing w:before="120" w:after="120"/>
      </w:pPr>
      <w:r>
        <w:t xml:space="preserve"/>
      </w:r>
    </w:p>
    <w:p>
      <w:pPr>
        <w:pStyle w:val="Heading1"/>
        <w:spacing w:before="320" w:after="160"/>
      </w:pPr>
      <w:r>
        <w:rPr>
          <w:rFonts w:ascii="Arial" w:cs="Arial" w:eastAsia="Arial" w:hAnsi="Arial"/>
          <w:b/>
          <w:bCs/>
          <w:color w:val="1F4E79"/>
          <w:sz w:val="36"/>
          <w:szCs w:val="36"/>
        </w:rPr>
        <w:t xml:space="preserve">10. Future: AI-Based Dynamic ROP</w:t>
      </w:r>
    </w:p>
    <w:p>
      <w:pPr>
        <w:spacing w:before="80" w:after="80"/>
      </w:pPr>
      <w:r>
        <w:rPr>
          <w:rFonts w:ascii="Arial" w:cs="Arial" w:eastAsia="Arial" w:hAnsi="Arial"/>
          <w:sz w:val="22"/>
          <w:szCs w:val="22"/>
        </w:rPr>
        <w:t xml:space="preserve">The current ROP uses historical averages. A more advanced approach — recommended by the reviewer — uses machine learning forecasts instead:</w:t>
      </w:r>
    </w:p>
    <w:p>
      <w:pPr>
        <w:spacing w:before="8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1F4E79" w:sz="1"/>
              <w:left w:val="single" w:color="1F4E79" w:sz="1"/>
              <w:bottom w:val="single" w:color="1F4E79" w:sz="1"/>
              <w:right w:val="single" w:color="1F4E79" w:sz="1"/>
            </w:tcBorders>
            <w:shd w:fill="1F4E79" w:val="clear"/>
            <w:tcMar>
              <w:top w:type="dxa" w:w="100"/>
              <w:left w:type="dxa" w:w="120"/>
              <w:bottom w:type="dxa" w:w="100"/>
              <w:right w:type="dxa" w:w="120"/>
            </w:tcMar>
          </w:tcPr>
          <w:p>
            <w:pPr>
              <w:jc w:val="center"/>
            </w:pPr>
            <w:r>
              <w:rPr>
                <w:rFonts w:ascii="Arial" w:cs="Arial" w:eastAsia="Arial" w:hAnsi="Arial"/>
                <w:b/>
                <w:bCs/>
                <w:color w:val="FFFFFF"/>
                <w:sz w:val="20"/>
                <w:szCs w:val="20"/>
              </w:rPr>
              <w:t xml:space="preserve">Current (Statistical ROP)</w:t>
            </w:r>
          </w:p>
        </w:tc>
        <w:tc>
          <w:tcPr>
            <w:tcW w:type="dxa" w:w="4680"/>
            <w:tcBorders>
              <w:top w:val="single" w:color="1F4E79" w:sz="1"/>
              <w:left w:val="single" w:color="1F4E79" w:sz="1"/>
              <w:bottom w:val="single" w:color="1F4E79" w:sz="1"/>
              <w:right w:val="single" w:color="1F4E79" w:sz="1"/>
            </w:tcBorders>
            <w:shd w:fill="1F4E79" w:val="clear"/>
            <w:tcMar>
              <w:top w:type="dxa" w:w="100"/>
              <w:left w:type="dxa" w:w="120"/>
              <w:bottom w:type="dxa" w:w="100"/>
              <w:right w:type="dxa" w:w="120"/>
            </w:tcMar>
          </w:tcPr>
          <w:p>
            <w:pPr>
              <w:jc w:val="center"/>
            </w:pPr>
            <w:r>
              <w:rPr>
                <w:rFonts w:ascii="Arial" w:cs="Arial" w:eastAsia="Arial" w:hAnsi="Arial"/>
                <w:b/>
                <w:bCs/>
                <w:color w:val="FFFFFF"/>
                <w:sz w:val="20"/>
                <w:szCs w:val="20"/>
              </w:rPr>
              <w:t xml:space="preserve">AI-Based Dynamic ROP</w:t>
            </w:r>
          </w:p>
        </w:tc>
      </w:tr>
      <w:tr>
        <w:tc>
          <w:tcPr>
            <w:tcW w:type="dxa" w:w="468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val="false"/>
                <w:bCs w:val="false"/>
                <w:color w:val="000000"/>
                <w:sz w:val="20"/>
                <w:szCs w:val="20"/>
              </w:rPr>
              <w:t xml:space="preserve">ADC = historical mean</w:t>
            </w:r>
          </w:p>
        </w:tc>
        <w:tc>
          <w:tcPr>
            <w:tcW w:type="dxa" w:w="468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val="false"/>
                <w:bCs w:val="false"/>
                <w:color w:val="000000"/>
                <w:sz w:val="20"/>
                <w:szCs w:val="20"/>
              </w:rPr>
              <w:t xml:space="preserve">Forecasted demand from ML model</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Lead Time = fixed constant</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Predicted lead time from logistics data</w:t>
            </w:r>
          </w:p>
        </w:tc>
      </w:tr>
      <w:tr>
        <w:tc>
          <w:tcPr>
            <w:tcW w:type="dxa" w:w="468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val="false"/>
                <w:bCs w:val="false"/>
                <w:color w:val="000000"/>
                <w:sz w:val="20"/>
                <w:szCs w:val="20"/>
              </w:rPr>
              <w:t xml:space="preserve">Safety Stock = static buffer</w:t>
            </w:r>
          </w:p>
        </w:tc>
        <w:tc>
          <w:tcPr>
            <w:tcW w:type="dxa" w:w="468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val="false"/>
                <w:bCs w:val="false"/>
                <w:color w:val="000000"/>
                <w:sz w:val="20"/>
                <w:szCs w:val="20"/>
              </w:rPr>
              <w:t xml:space="preserve">Dynamic buffer based on forecast uncertainty</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ROP recalculated periodically</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ROP updates daily with new forecast</w:t>
            </w:r>
          </w:p>
        </w:tc>
      </w:tr>
    </w:tbl>
    <w:p>
      <w:pPr>
        <w:spacing w:before="80" w:after="80"/>
      </w:pPr>
      <w:r>
        <w:t xml:space="preserve"/>
      </w:r>
    </w:p>
    <w:p>
      <w:pPr>
        <w:pBdr>
          <w:left w:val="single" w:color="1F4E79" w:sz="14" w:space="8"/>
        </w:pBdr>
        <w:shd w:fill="EBF3FB" w:val="clear"/>
        <w:spacing w:before="120" w:after="120"/>
        <w:ind w:left="360" w:right="360"/>
      </w:pPr>
      <w:r>
        <w:rPr>
          <w:rFonts w:ascii="Arial" w:cs="Arial" w:eastAsia="Arial" w:hAnsi="Arial"/>
          <w:b/>
          <w:bCs/>
          <w:color w:val="1F4E79"/>
          <w:sz w:val="22"/>
          <w:szCs w:val="22"/>
        </w:rPr>
        <w:t xml:space="preserve">Next step: </w:t>
      </w:r>
      <w:r>
        <w:rPr>
          <w:rFonts w:ascii="Arial" w:cs="Arial" w:eastAsia="Arial" w:hAnsi="Arial"/>
          <w:sz w:val="22"/>
          <w:szCs w:val="22"/>
        </w:rPr>
        <w:t xml:space="preserve">This is exactly where your ML forecasting system connects with coal inventory planning — replace ADC with a demand forecast and lead time with a predicted transit time to get a fully dynamic ROP.</w:t>
      </w:r>
    </w:p>
    <w:p>
      <w:pPr>
        <w:spacing w:before="80" w:after="80"/>
      </w:pPr>
      <w:r>
        <w:t xml:space="preserve"/>
      </w:r>
    </w:p>
    <w:p>
      <w:pPr>
        <w:spacing w:before="80" w:after="80"/>
      </w:pPr>
      <w:r>
        <w:t xml:space="preserve"/>
      </w:r>
    </w:p>
    <w:p>
      <w:pPr>
        <w:spacing w:before="200" w:after="80"/>
        <w:jc w:val="center"/>
      </w:pPr>
      <w:r>
        <w:rPr>
          <w:rFonts w:ascii="Arial" w:cs="Arial" w:eastAsia="Arial" w:hAnsi="Arial"/>
          <w:i/>
          <w:iCs/>
          <w:color w:val="888888"/>
          <w:sz w:val="20"/>
          <w:szCs w:val="20"/>
        </w:rPr>
        <w:t xml:space="preserve">This algorithm runs on any new data automatically — no manual changes needed.</w:t>
      </w:r>
    </w:p>
    <w:p>
      <w:pPr>
        <w:spacing w:before="0" w:after="80"/>
        <w:jc w:val="center"/>
      </w:pPr>
      <w:r>
        <w:rPr>
          <w:rFonts w:ascii="Arial" w:cs="Arial" w:eastAsia="Arial" w:hAnsi="Arial"/>
          <w:color w:val="AAAAAA"/>
          <w:sz w:val="18"/>
          <w:szCs w:val="18"/>
        </w:rPr>
        <w:t xml:space="preserve">Column names must match exactly:  Date  ·  Plant  ·  Consumption (MT)  ·  Stock (MT)  ·  RR Quantity (MT)</w:t>
      </w:r>
    </w:p>
    <w:sectPr>
      <w:headerReference w:type="default" r:id="rId6"/>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1F4E79" w:sz="4" w:space="1"/>
      </w:pBdr>
    </w:pPr>
    <w:r>
      <w:rPr>
        <w:rFonts w:ascii="Arial" w:cs="Arial" w:eastAsia="Arial" w:hAnsi="Arial"/>
        <w:color w:val="1F4E79"/>
        <w:sz w:val="18"/>
        <w:szCs w:val="18"/>
      </w:rPr>
      <w:t xml:space="preserve">Coal Inventory ROP Algorithm  |  Barh · Dadri · Kudgi  |  v2.0 (Reviewed &amp; Corrected)</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20" w:after="160"/>
      <w:outlineLvl w:val="0"/>
    </w:pPr>
    <w:rPr>
      <w:rFonts w:ascii="Arial" w:cs="Arial" w:eastAsia="Arial" w:hAnsi="Arial"/>
      <w:b/>
      <w:bCs/>
      <w:sz w:val="36"/>
      <w:szCs w:val="36"/>
    </w:rPr>
  </w:style>
  <w:style w:type="paragraph" w:styleId="Heading2">
    <w:name w:val="Heading 2"/>
    <w:basedOn w:val="Normal"/>
    <w:next w:val="Normal"/>
    <w:qFormat/>
    <w:pPr>
      <w:spacing w:before="240" w:after="120"/>
      <w:outlineLvl w:val="1"/>
    </w:pPr>
    <w:rPr>
      <w:rFonts w:ascii="Arial" w:cs="Arial" w:eastAsia="Arial" w:hAnsi="Arial"/>
      <w:b/>
      <w:bCs/>
      <w:sz w:val="28"/>
      <w:szCs w:val="28"/>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2026-03-16T11:17:13.839Z</dcterms:created>
  <dcterms:modified xsi:type="dcterms:W3CDTF">2026-03-16T11:17:13.839Z</dcterms:modified>
</cp:coreProperties>
</file>

<file path=docProps/custom.xml><?xml version="1.0" encoding="utf-8"?>
<Properties xmlns="http://schemas.openxmlformats.org/officeDocument/2006/custom-properties" xmlns:vt="http://schemas.openxmlformats.org/officeDocument/2006/docPropsVTypes"/>
</file>