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Towards a template-based methodology for IaaC — bozze (IT)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Xfbbf3b7bd09194445ee2b7578a1cf1e321e8524"/>
    <w:p>
      <w:pPr>
        <w:pStyle w:val="Heading1"/>
      </w:pPr>
      <w:r>
        <w:t xml:space="preserve">Outline —</w:t>
      </w:r>
      <w:r>
        <w:t xml:space="preserve"> </w:t>
      </w:r>
      <w:r>
        <w:t xml:space="preserve">“Towards a template-based methodology for IaaC: the XXX use case”</w:t>
      </w:r>
    </w:p>
    <w:p>
      <w:pPr>
        <w:pStyle w:val="BlockText"/>
      </w:pPr>
      <w:r>
        <w:t xml:space="preserve">IEEE ScalCom 2026 — full paper, 6 pagine (template IEEE due colonne, +2 a pagamento).</w:t>
      </w:r>
      <w:r>
        <w:t xml:space="preserve"> </w:t>
      </w:r>
      <w:r>
        <w:t xml:space="preserve">Deadline:</w:t>
      </w:r>
      <w:r>
        <w:t xml:space="preserve"> </w:t>
      </w:r>
      <w:r>
        <w:rPr>
          <w:b/>
          <w:bCs/>
        </w:rPr>
        <w:t xml:space="preserve">15 giugno 2026</w:t>
      </w:r>
      <w:r>
        <w:t xml:space="preserve">. Lingua finale: inglese (bozze in italiano in questa cartella).</w:t>
      </w:r>
    </w:p>
    <w:p>
      <w:pPr>
        <w:pStyle w:val="BlockText"/>
      </w:pPr>
      <w:r>
        <w:t xml:space="preserve">Legenda proprietario:</w:t>
      </w:r>
      <w:r>
        <w:t xml:space="preserve"> </w:t>
      </w:r>
      <w:r>
        <w:rPr>
          <w:b/>
          <w:bCs/>
        </w:rPr>
        <w:t xml:space="preserve">[P]</w:t>
      </w:r>
      <w:r>
        <w:t xml:space="preserve"> </w:t>
      </w:r>
      <w:r>
        <w:t xml:space="preserve">= autore ·</w:t>
      </w:r>
      <w:r>
        <w:t xml:space="preserve"> </w:t>
      </w:r>
      <w:r>
        <w:rPr>
          <w:b/>
          <w:bCs/>
        </w:rPr>
        <w:t xml:space="preserve">[Prof]</w:t>
      </w:r>
      <w:r>
        <w:t xml:space="preserve"> </w:t>
      </w:r>
      <w:r>
        <w:t xml:space="preserve">= relatore ·</w:t>
      </w:r>
      <w:r>
        <w:t xml:space="preserve"> </w:t>
      </w:r>
      <w:r>
        <w:rPr>
          <w:b/>
          <w:bCs/>
        </w:rPr>
        <w:t xml:space="preserve">[S]</w:t>
      </w:r>
      <w:r>
        <w:t xml:space="preserve"> </w:t>
      </w:r>
      <w:r>
        <w:t xml:space="preserve">= condiviso.</w:t>
      </w:r>
      <w:r>
        <w:t xml:space="preserve"> </w:t>
      </w:r>
      <w:r>
        <w:t xml:space="preserve">Legenda stato: ✅ bozza pronta · 🟡 da scrivere · ⬜ da definire con il prof.</w:t>
      </w:r>
    </w:p>
    <w:bookmarkStart w:id="9" w:name="filo-conduttore-research-questions"/>
    <w:p>
      <w:pPr>
        <w:pStyle w:val="Heading2"/>
      </w:pPr>
      <w:r>
        <w:t xml:space="preserve">Filo conduttore — Research Questions</w:t>
      </w:r>
    </w:p>
    <w:p>
      <w:pPr>
        <w:pStyle w:val="FirstParagraph"/>
      </w:pPr>
      <w:r>
        <w:t xml:space="preserve">Da fissare in Introduzione e richiamare in ogni sezione (danno struttura</w:t>
      </w:r>
      <w:r>
        <w:t xml:space="preserve"> </w:t>
      </w:r>
      <w:r>
        <w:t xml:space="preserve">“scientifica”</w:t>
      </w:r>
      <w:r>
        <w:t xml:space="preserve"> </w:t>
      </w:r>
      <w:r>
        <w:t xml:space="preserve">al paper):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RQ1 — Indipendenza.</w:t>
      </w:r>
      <w:r>
        <w:t xml:space="preserve"> </w:t>
      </w:r>
      <w:r>
        <w:t xml:space="preserve">Una metodologia template-based per l’IaaC può essere indipendente dal</w:t>
      </w:r>
      <w:r>
        <w:t xml:space="preserve"> </w:t>
      </w:r>
      <w:r>
        <w:rPr>
          <w:i/>
          <w:iCs/>
        </w:rPr>
        <w:t xml:space="preserve">provider</w:t>
      </w:r>
      <w:r>
        <w:t xml:space="preserve"> </w:t>
      </w:r>
      <w:r>
        <w:t xml:space="preserve">e dal</w:t>
      </w:r>
      <w:r>
        <w:t xml:space="preserve"> </w:t>
      </w:r>
      <w:r>
        <w:rPr>
          <w:i/>
          <w:iCs/>
        </w:rPr>
        <w:t xml:space="preserve">motore</w:t>
      </w:r>
      <w:r>
        <w:t xml:space="preserve"> </w:t>
      </w:r>
      <w:r>
        <w:t xml:space="preserve">IaC? → risposta in §III-C (modello a due assi) + §V (doppia istanziazione CDK / Terraform).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RQ2 — Prevenzione per costruzione.</w:t>
      </w:r>
      <w:r>
        <w:t xml:space="preserve"> </w:t>
      </w:r>
      <w:r>
        <w:t xml:space="preserve">Quali classi di misconfigurazione l’organizzazione a livelli rende</w:t>
      </w:r>
      <w:r>
        <w:t xml:space="preserve"> </w:t>
      </w:r>
      <w:r>
        <w:rPr>
          <w:i/>
          <w:iCs/>
        </w:rPr>
        <w:t xml:space="preserve">strutturalmente impossibili</w:t>
      </w:r>
      <w:r>
        <w:t xml:space="preserve">, invece di rilevarle a posteriori? → §II (VA1) + §IV (Aspect, SSM, stringhe cross-stack).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RQ3 — Scalabilità.</w:t>
      </w:r>
      <w:r>
        <w:t xml:space="preserve"> </w:t>
      </w:r>
      <w:r>
        <w:t xml:space="preserve">Come scala l’approccio al crescere di stack, environment/account e progetti? → §IV-E.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RQ4 — GenAI assistita.</w:t>
      </w:r>
      <w:r>
        <w:t xml:space="preserve"> </w:t>
      </w:r>
      <w:r>
        <w:t xml:space="preserve">La GenAI (Kiro) può assistere l’autoring restando vincolata a uno standard rivedibile e conforme? → §VI.</w:t>
      </w:r>
    </w:p>
    <w:bookmarkEnd w:id="9"/>
    <w:bookmarkStart w:id="10" w:name="struttura-e-budget-pagine"/>
    <w:p>
      <w:pPr>
        <w:pStyle w:val="Heading2"/>
      </w:pPr>
      <w:r>
        <w:t xml:space="preserve">Struttura e budget pagine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Sezione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  <w:tc>
          <w:tcPr/>
          <w:p>
            <w:pPr>
              <w:pStyle w:val="Compact"/>
            </w:pPr>
            <w:r>
              <w:t xml:space="preserve">Pag.</w:t>
            </w:r>
          </w:p>
        </w:tc>
        <w:tc>
          <w:tcPr/>
          <w:p>
            <w:pPr>
              <w:pStyle w:val="Compact"/>
            </w:pPr>
            <w:r>
              <w:t xml:space="preserve">Contenuto chiave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[S]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problema, tesi (metodologia a 2 assi), caso studio AWS, claim di indipendenza/scalabilità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[Prof]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intro all’IaaC; problema (riuso/divergenza/misconfig); le 4 RQ; lista contributi; struttura del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Work &amp; Positioning</w:t>
            </w:r>
          </w:p>
        </w:tc>
        <w:tc>
          <w:tcPr/>
          <w:p>
            <w:pPr>
              <w:pStyle w:val="Compact"/>
            </w:pPr>
            <w:r>
              <w:t xml:space="preserve">[P]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4 filoni (mappatura, qualità/difetti, CI/CD, AI); la lacuna; VA1–VA4; tabella di sintesi →</w:t>
            </w:r>
            <w:r>
              <w:t xml:space="preserve"> </w:t>
            </w:r>
            <w:r>
              <w:rPr>
                <w:rStyle w:val="VerbatimChar"/>
              </w:rPr>
              <w:t xml:space="preserve">02-domanda2-valore-aggiunto.md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Two-Axis Template Model</w:t>
            </w:r>
          </w:p>
        </w:tc>
        <w:tc>
          <w:tcPr/>
          <w:p>
            <w:pPr>
              <w:pStyle w:val="Compact"/>
            </w:pPr>
            <w:r>
              <w:t xml:space="preserve">[P]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livelli (Risorsa→Costrutto→Stack→SuperTemplate→App) × pillar; indipendenza (RQ1); Tab. I mapping AWS/Azure/GCP; Fig. 1 matrice →</w:t>
            </w:r>
            <w:r>
              <w:t xml:space="preserve"> </w:t>
            </w:r>
            <w:r>
              <w:rPr>
                <w:rStyle w:val="VerbatimChar"/>
              </w:rPr>
              <w:t xml:space="preserve">01-livelli-e-pillar.md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 Organization (Reference Impl.)</w:t>
            </w:r>
          </w:p>
        </w:tc>
        <w:tc>
          <w:tcPr/>
          <w:p>
            <w:pPr>
              <w:pStyle w:val="Compact"/>
            </w:pPr>
            <w:r>
              <w:t xml:space="preserve">[P]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i 4 livelli nel codice + invarianti + ADR; perché scala (RQ3); Fig. 2 diagramma composizione →</w:t>
            </w:r>
            <w:r>
              <w:t xml:space="preserve"> </w:t>
            </w:r>
            <w:r>
              <w:rPr>
                <w:rStyle w:val="VerbatimChar"/>
              </w:rPr>
              <w:t xml:space="preserve">03-organizzazione-moduli.md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 Study: AWS + ad-hoc application</w:t>
            </w:r>
          </w:p>
        </w:tc>
        <w:tc>
          <w:tcPr/>
          <w:p>
            <w:pPr>
              <w:pStyle w:val="Compact"/>
            </w:pPr>
            <w:r>
              <w:t xml:space="preserve">[Prof]/[S]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applicazione ispirata a caso reale; quali pillar/feature attivati; doppia versione CDK ↔ Terraform per RQ1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GenAI Integration (Kiro)</w:t>
            </w:r>
          </w:p>
        </w:tc>
        <w:tc>
          <w:tcPr/>
          <w:p>
            <w:pPr>
              <w:pStyle w:val="Compact"/>
            </w:pPr>
            <w:r>
              <w:t xml:space="preserve">[Prof]/[S]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Kiro come assistente vincolato dalla struttura (RQ4); esempio di flusso/prompt; conformità rivedibile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Discussion / Evaluation</w:t>
            </w:r>
          </w:p>
        </w:tc>
        <w:tc>
          <w:tcPr/>
          <w:p>
            <w:pPr>
              <w:pStyle w:val="Compact"/>
            </w:pPr>
            <w:r>
              <w:t xml:space="preserve">[S]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evidenze su RQ1–RQ4; metriche possibili (vedi sotto); confronto qualitativo con moduli</w:t>
            </w:r>
            <w:r>
              <w:t xml:space="preserve"> </w:t>
            </w:r>
            <w:r>
              <w:t xml:space="preserve">“piatti”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Threats to Validity / Limitations</w:t>
            </w:r>
          </w:p>
        </w:tc>
        <w:tc>
          <w:tcPr/>
          <w:p>
            <w:pPr>
              <w:pStyle w:val="Compact"/>
            </w:pPr>
            <w:r>
              <w:t xml:space="preserve">[S]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caso studio singolo; valutazione qualitativa; Terraform-variant come proof-of-concept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Conclusions &amp; Future Work</w:t>
            </w:r>
          </w:p>
        </w:tc>
        <w:tc>
          <w:tcPr/>
          <w:p>
            <w:pPr>
              <w:pStyle w:val="Compact"/>
            </w:pPr>
            <w:r>
              <w:t xml:space="preserve">[Prof]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sintesi contributi; estensione multi-cloud; valutazione empirica futura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[S]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[1]–[7] del prof + CDK/Terraform/AWS docs + eventuali integrazioni</w:t>
            </w:r>
          </w:p>
        </w:tc>
      </w:tr>
    </w:tbl>
    <w:p>
      <w:pPr>
        <w:pStyle w:val="BodyText"/>
      </w:pPr>
      <w:r>
        <w:t xml:space="preserve">Totale stimato ≈ 6.0 pag. (le sezioni [P] occupano ~3.5 pag: il cuore metodologico è tuo).</w:t>
      </w:r>
    </w:p>
    <w:bookmarkEnd w:id="10"/>
    <w:bookmarkStart w:id="11" w:name="bozza-di-abstract-it-da-tradurre"/>
    <w:p>
      <w:pPr>
        <w:pStyle w:val="Heading2"/>
      </w:pPr>
      <w:r>
        <w:t xml:space="preserve">Bozza di Abstract (it → da tradurre)</w:t>
      </w:r>
    </w:p>
    <w:p>
      <w:pPr>
        <w:pStyle w:val="BlockText"/>
      </w:pPr>
      <w:r>
        <w:t xml:space="preserve">L’Infrastructure-as-Code ha reso il provisioning del cloud ripetibile, ma la pratica resta</w:t>
      </w:r>
      <w:r>
        <w:t xml:space="preserve"> </w:t>
      </w:r>
      <w:r>
        <w:t xml:space="preserve">frammentata: codice duplicato tra progetti, divergenza tra ambienti e misconfigurazioni</w:t>
      </w:r>
      <w:r>
        <w:t xml:space="preserve"> </w:t>
      </w:r>
      <w:r>
        <w:t xml:space="preserve">ricorrenti. Proponiamo una</w:t>
      </w:r>
      <w:r>
        <w:t xml:space="preserve"> </w:t>
      </w:r>
      <w:r>
        <w:rPr>
          <w:b/>
          <w:bCs/>
        </w:rPr>
        <w:t xml:space="preserve">metodologia template-based</w:t>
      </w:r>
      <w:r>
        <w:t xml:space="preserve"> </w:t>
      </w:r>
      <w:r>
        <w:t xml:space="preserve">che organizza l’IaaC lungo due assi</w:t>
      </w:r>
      <w:r>
        <w:t xml:space="preserve"> </w:t>
      </w:r>
      <w:r>
        <w:t xml:space="preserve">ortogonali —</w:t>
      </w:r>
      <w:r>
        <w:t xml:space="preserve"> </w:t>
      </w:r>
      <w:r>
        <w:rPr>
          <w:i/>
          <w:iCs/>
        </w:rPr>
        <w:t xml:space="preserve">livelli di composizione</w:t>
      </w:r>
      <w:r>
        <w:t xml:space="preserve"> </w:t>
      </w:r>
      <w:r>
        <w:t xml:space="preserve">(Risorsa, Costrutto, Stack, SuperTemplate, App) e</w:t>
      </w:r>
      <w:r>
        <w:t xml:space="preserve"> </w:t>
      </w:r>
      <w:r>
        <w:rPr>
          <w:i/>
          <w:iCs/>
        </w:rPr>
        <w:t xml:space="preserve">pillar funzionali</w:t>
      </w:r>
      <w:r>
        <w:t xml:space="preserve"> </w:t>
      </w:r>
      <w:r>
        <w:t xml:space="preserve">provider-agnostici (DNS, rete, sicurezza, monitoring, observability, costi).</w:t>
      </w:r>
      <w:r>
        <w:t xml:space="preserve"> </w:t>
      </w:r>
      <w:r>
        <w:t xml:space="preserve">Il principio guida è concentrare la</w:t>
      </w:r>
      <w:r>
        <w:t xml:space="preserve"> </w:t>
      </w:r>
      <w:r>
        <w:rPr>
          <w:b/>
          <w:bCs/>
        </w:rPr>
        <w:t xml:space="preserve">standardizzazione</w:t>
      </w:r>
      <w:r>
        <w:t xml:space="preserve"> </w:t>
      </w:r>
      <w:r>
        <w:t xml:space="preserve">nel SuperTemplate e confinare la</w:t>
      </w:r>
      <w:r>
        <w:t xml:space="preserve"> </w:t>
      </w:r>
      <w:r>
        <w:rPr>
          <w:b/>
          <w:bCs/>
        </w:rPr>
        <w:t xml:space="preserve">variazione</w:t>
      </w:r>
      <w:r>
        <w:t xml:space="preserve"> </w:t>
      </w:r>
      <w:r>
        <w:t xml:space="preserve">alla sola configurazione a livello App, ottenendo riuso senza divergenza.</w:t>
      </w:r>
      <w:r>
        <w:t xml:space="preserve"> </w:t>
      </w:r>
      <w:r>
        <w:t xml:space="preserve">Mostriamo che livelli e pillar sono indipendenti da provider e motore istanziando la stessa</w:t>
      </w:r>
      <w:r>
        <w:t xml:space="preserve"> </w:t>
      </w:r>
      <w:r>
        <w:t xml:space="preserve">metodologia in CDK e Terraform, e la validiamo con un caso di studio su AWS ispirato a</w:t>
      </w:r>
      <w:r>
        <w:t xml:space="preserve"> </w:t>
      </w:r>
      <w:r>
        <w:t xml:space="preserve">un’applicazione reale, con integrazione di GenAI (Kiro) come assistente vincolato alla struttura.</w:t>
      </w:r>
      <w:r>
        <w:t xml:space="preserve"> </w:t>
      </w:r>
      <w:r>
        <w:t xml:space="preserve">La metodologia previene</w:t>
      </w:r>
      <w:r>
        <w:t xml:space="preserve"> </w:t>
      </w:r>
      <w:r>
        <w:rPr>
          <w:i/>
          <w:iCs/>
        </w:rPr>
        <w:t xml:space="preserve">per costruzione</w:t>
      </w:r>
      <w:r>
        <w:t xml:space="preserve"> </w:t>
      </w:r>
      <w:r>
        <w:t xml:space="preserve">intere classi di misconfigurazione e scala in numero</w:t>
      </w:r>
      <w:r>
        <w:t xml:space="preserve"> </w:t>
      </w:r>
      <w:r>
        <w:t xml:space="preserve">di stack, ambienti e progetti.</w:t>
      </w:r>
    </w:p>
    <w:bookmarkEnd w:id="11"/>
    <w:bookmarkStart w:id="12" w:name="X118d5942dfe137a625629fce966bf35bbc191b2"/>
    <w:p>
      <w:pPr>
        <w:pStyle w:val="Heading2"/>
      </w:pPr>
      <w:r>
        <w:t xml:space="preserve">Possibili metriche per §VII (per irrobustire la valutazione)</w:t>
      </w:r>
    </w:p>
    <w:p>
      <w:pPr>
        <w:pStyle w:val="FirstParagraph"/>
      </w:pPr>
      <w:r>
        <w:t xml:space="preserve">Anche se la valutazione sarà in larga parte qualitativa, qualche numero rafforza molto il paper: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Divergenza di codice tra ambienti</w:t>
      </w:r>
      <w:r>
        <w:t xml:space="preserve">: righe di codice condivise vs duplicate (atteso: ~0 duplicazione, solo config diversa).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Copertura governance</w:t>
      </w:r>
      <w:r>
        <w:t xml:space="preserve">: % risorse con tag/naming conformi (atteso: 100% via Aspect, vs campione manuale).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Superficie d’attacco</w:t>
      </w:r>
      <w:r>
        <w:t xml:space="preserve">: n. porte inbound aperte di default (atteso: 0, SSM vs SSH — ADR-003).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Effort di onboarding</w:t>
      </w:r>
      <w:r>
        <w:t xml:space="preserve">: passi/file per aggiungere un nuovo environment (3 passi dichiarativi) o un nuovo progetto (clone + config).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Effort multi-cloud</w:t>
      </w:r>
      <w:r>
        <w:t xml:space="preserve">: % di livelli/pillar invariati nel passaggio CDK→Terraform (atteso: tutto tranne foglia Risorsa + motore).</w:t>
      </w:r>
    </w:p>
    <w:bookmarkEnd w:id="12"/>
    <w:bookmarkStart w:id="13" w:name="todo-questioni-aperte"/>
    <w:p>
      <w:pPr>
        <w:pStyle w:val="Heading2"/>
      </w:pPr>
      <w:r>
        <w:t xml:space="preserve">TODO / questioni aperte</w:t>
      </w:r>
    </w:p>
    <w:p>
      <w:pPr>
        <w:pStyle w:val="Compact"/>
        <w:numPr>
          <w:ilvl w:val="0"/>
          <w:numId w:val="1003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Titolo</w:t>
      </w:r>
      <w:r>
        <w:t xml:space="preserve">: sostituire</w:t>
      </w:r>
      <w:r>
        <w:t xml:space="preserve"> </w:t>
      </w:r>
      <w:r>
        <w:t xml:space="preserve">“XXX”</w:t>
      </w:r>
      <w:r>
        <w:t xml:space="preserve"> </w:t>
      </w:r>
      <w:r>
        <w:t xml:space="preserve">con il nome del caso d’uso reale.</w:t>
      </w:r>
    </w:p>
    <w:p>
      <w:pPr>
        <w:pStyle w:val="Compact"/>
        <w:numPr>
          <w:ilvl w:val="0"/>
          <w:numId w:val="1003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[5] DOI segnaposto</w:t>
      </w:r>
      <w:r>
        <w:t xml:space="preserve"> </w:t>
      </w:r>
      <w:r>
        <w:t xml:space="preserve">(</w:t>
      </w:r>
      <w:r>
        <w:rPr>
          <w:rStyle w:val="VerbatimChar"/>
        </w:rPr>
        <w:t xml:space="preserve">RG.2.2.12345.67890</w:t>
      </w:r>
      <w:r>
        <w:t xml:space="preserve">) — verificare prima della submission.</w:t>
      </w:r>
    </w:p>
    <w:p>
      <w:pPr>
        <w:pStyle w:val="Compact"/>
        <w:numPr>
          <w:ilvl w:val="0"/>
          <w:numId w:val="1003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Kiro/§VI</w:t>
      </w:r>
      <w:r>
        <w:t xml:space="preserve">: nel repo non c’è ancora integrazione GenAI; serve almeno un esempio concreto.</w:t>
      </w:r>
    </w:p>
    <w:p>
      <w:pPr>
        <w:pStyle w:val="Compact"/>
        <w:numPr>
          <w:ilvl w:val="0"/>
          <w:numId w:val="1003"/>
        </w:numPr>
      </w:pPr>
      <w:r>
        <w:t xml:space="preserve">⬜</w:t>
      </w:r>
      <w:r>
        <w:t xml:space="preserve"> </w:t>
      </w:r>
      <w:r>
        <w:rPr>
          <w:b/>
          <w:bCs/>
        </w:rPr>
        <w:t xml:space="preserve">Terraform-variant (§V/RQ1)</w:t>
      </w:r>
      <w:r>
        <w:t xml:space="preserve">: decidere se proof-of-concept reale o mapping concettuale.</w:t>
      </w:r>
    </w:p>
    <w:p>
      <w:pPr>
        <w:pStyle w:val="Compact"/>
        <w:numPr>
          <w:ilvl w:val="0"/>
          <w:numId w:val="1003"/>
        </w:numPr>
      </w:pPr>
      <w:r>
        <w:t xml:space="preserve">⬜ Confermare con il prof la divisione delle sezioni [Prof]/[S] e chi scrive Intro/Conclusioni.</w:t>
      </w:r>
    </w:p>
    <w:bookmarkEnd w:id="13"/>
    <w:bookmarkEnd w:id="14"/>
    <w:bookmarkStart w:id="20" w:name="Xf4111ad68fa0a5dd94d8f1892f8930da67378aa"/>
    <w:p>
      <w:pPr>
        <w:pStyle w:val="Heading1"/>
      </w:pPr>
      <w:r>
        <w:t xml:space="preserve">§II — Lavori correlati e posizionamento (Domanda 2)</w:t>
      </w:r>
    </w:p>
    <w:p>
      <w:pPr>
        <w:pStyle w:val="BlockText"/>
      </w:pPr>
      <w:r>
        <w:t xml:space="preserve">Bozza in italiano (da tradurre in inglese). Risponde all’action point:</w:t>
      </w:r>
      <w:r>
        <w:t xml:space="preserve"> </w:t>
      </w:r>
      <w:r>
        <w:rPr>
          <w:i/>
          <w:iCs/>
        </w:rPr>
        <w:t xml:space="preserve">“ci sono altre</w:t>
      </w:r>
      <w:r>
        <w:rPr>
          <w:i/>
          <w:iCs/>
        </w:rPr>
        <w:t xml:space="preserve"> </w:t>
      </w:r>
      <w:r>
        <w:rPr>
          <w:i/>
          <w:iCs/>
        </w:rPr>
        <w:t xml:space="preserve">metodologie o approcci simili e qual è il valore aggiunto del tuo?”</w:t>
      </w:r>
      <w:r>
        <w:t xml:space="preserve">. Le citazioni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rimandano alla tabella di letteratura fornita (vedi fondo file).</w:t>
      </w:r>
    </w:p>
    <w:p>
      <w:pPr>
        <w:pStyle w:val="FirstParagraph"/>
      </w:pPr>
      <w:r>
        <w:t xml:space="preserve">La letteratura su Infrastructure-as-Code è ampia ma si concentra, quasi senza eccezioni, sull’IaC come</w:t>
      </w:r>
      <w:r>
        <w:t xml:space="preserve"> </w:t>
      </w:r>
      <w:r>
        <w:rPr>
          <w:i/>
          <w:iCs/>
        </w:rPr>
        <w:t xml:space="preserve">oggetto da osservare</w:t>
      </w:r>
      <w:r>
        <w:t xml:space="preserve"> </w:t>
      </w:r>
      <w:r>
        <w:t xml:space="preserve">— da catalogare, misurare, analizzare o generare — più che come</w:t>
      </w:r>
      <w:r>
        <w:t xml:space="preserve"> </w:t>
      </w:r>
      <w:r>
        <w:rPr>
          <w:i/>
          <w:iCs/>
        </w:rPr>
        <w:t xml:space="preserve">pratica da prescrivere</w:t>
      </w:r>
      <w:r>
        <w:t xml:space="preserve">. Raggruppiamo i lavori esistenti in quattro filoni e mostriamo, per ciascuno, la domanda che lascia aperta e che la nostra metodologia affronta.</w:t>
      </w:r>
    </w:p>
    <w:bookmarkStart w:id="15" w:name="a.-i-quattro-filoni-esistenti"/>
    <w:p>
      <w:pPr>
        <w:pStyle w:val="Heading2"/>
      </w:pPr>
      <w:r>
        <w:t xml:space="preserve">A. I quattro filoni esistenti</w:t>
      </w:r>
    </w:p>
    <w:p>
      <w:pPr>
        <w:pStyle w:val="FirstParagraph"/>
      </w:pPr>
      <w:r>
        <w:rPr>
          <w:b/>
          <w:bCs/>
        </w:rPr>
        <w:t xml:space="preserve">1) Mappatura e visione (descrittivo).</w:t>
      </w:r>
      <w:r>
        <w:t xml:space="preserve"> </w:t>
      </w:r>
      <w:r>
        <w:t xml:space="preserve">Gli studi di mappatura sistematica [1] e i contributi di visione [6] inquadrano</w:t>
      </w:r>
      <w:r>
        <w:t xml:space="preserve"> </w:t>
      </w:r>
      <w:r>
        <w:rPr>
          <w:i/>
          <w:iCs/>
        </w:rPr>
        <w:t xml:space="preserve">cosa</w:t>
      </w:r>
      <w:r>
        <w:t xml:space="preserve"> </w:t>
      </w:r>
      <w:r>
        <w:t xml:space="preserve">sia l’IaC e</w:t>
      </w:r>
      <w:r>
        <w:t xml:space="preserve"> </w:t>
      </w:r>
      <w:r>
        <w:rPr>
          <w:i/>
          <w:iCs/>
        </w:rPr>
        <w:t xml:space="preserve">quali</w:t>
      </w:r>
      <w:r>
        <w:t xml:space="preserve"> </w:t>
      </w:r>
      <w:r>
        <w:t xml:space="preserve">benefici prometta (scalabilità, agilità, automazione), identificando le aree di ricerca attive. Sono descrittivi: dicono che l’IaC scala, non</w:t>
      </w:r>
      <w:r>
        <w:t xml:space="preserve"> </w:t>
      </w:r>
      <w:r>
        <w:rPr>
          <w:i/>
          <w:iCs/>
        </w:rPr>
        <w:t xml:space="preserve">come</w:t>
      </w:r>
      <w:r>
        <w:t xml:space="preserve"> </w:t>
      </w:r>
      <w:r>
        <w:t xml:space="preserve">strutturarlo perché scali.</w:t>
      </w:r>
    </w:p>
    <w:p>
      <w:pPr>
        <w:pStyle w:val="BodyText"/>
      </w:pPr>
      <w:r>
        <w:rPr>
          <w:b/>
          <w:bCs/>
        </w:rPr>
        <w:t xml:space="preserve">2) Qualità, sicurezza e difetti (analitico).</w:t>
      </w:r>
      <w:r>
        <w:t xml:space="preserve"> </w:t>
      </w:r>
      <w:r>
        <w:t xml:space="preserve">Un filone consistente studia l’IaC come artefatto da analizzare a posteriori: survey di analisi statica [3], studi empirici sui difetti [7], rilevamento di</w:t>
      </w:r>
      <w:r>
        <w:t xml:space="preserve"> </w:t>
      </w:r>
      <w:r>
        <w:rPr>
          <w:i/>
          <w:iCs/>
        </w:rPr>
        <w:t xml:space="preserve">smell</w:t>
      </w:r>
      <w:r>
        <w:t xml:space="preserve"> </w:t>
      </w:r>
      <w:r>
        <w:t xml:space="preserve">e misconfigurazioni di sicurezza. Questi lavori</w:t>
      </w:r>
      <w:r>
        <w:t xml:space="preserve"> </w:t>
      </w:r>
      <w:r>
        <w:rPr>
          <w:i/>
          <w:iCs/>
        </w:rPr>
        <w:t xml:space="preserve">misurano</w:t>
      </w:r>
      <w:r>
        <w:t xml:space="preserve"> </w:t>
      </w:r>
      <w:r>
        <w:t xml:space="preserve">i problemi (chiavi hardcoded, porte aperte, tag mancanti, idempotenza violata) e propongono</w:t>
      </w:r>
      <w:r>
        <w:t xml:space="preserve"> </w:t>
      </w:r>
      <w:r>
        <w:rPr>
          <w:i/>
          <w:iCs/>
        </w:rPr>
        <w:t xml:space="preserve">detector</w:t>
      </w:r>
      <w:r>
        <w:t xml:space="preserve">. Operano però</w:t>
      </w:r>
      <w:r>
        <w:t xml:space="preserve"> </w:t>
      </w:r>
      <w:r>
        <w:rPr>
          <w:i/>
          <w:iCs/>
        </w:rPr>
        <w:t xml:space="preserve">dopo</w:t>
      </w:r>
      <w:r>
        <w:t xml:space="preserve"> </w:t>
      </w:r>
      <w:r>
        <w:t xml:space="preserve">che il codice è stato scritto: classificano i difetti, non offrono un modello di composizione che li renda impossibili per costruzione.</w:t>
      </w:r>
    </w:p>
    <w:p>
      <w:pPr>
        <w:pStyle w:val="BodyText"/>
      </w:pPr>
      <w:r>
        <w:rPr>
          <w:b/>
          <w:bCs/>
        </w:rPr>
        <w:t xml:space="preserve">3) IaC nelle pipeline DevOps (di processo).</w:t>
      </w:r>
      <w:r>
        <w:t xml:space="preserve"> </w:t>
      </w:r>
      <w:r>
        <w:t xml:space="preserve">Un terzo filone descrive</w:t>
      </w:r>
      <w:r>
        <w:t xml:space="preserve"> </w:t>
      </w:r>
      <w:r>
        <w:rPr>
          <w:i/>
          <w:iCs/>
        </w:rPr>
        <w:t xml:space="preserve">come usare</w:t>
      </w:r>
      <w:r>
        <w:t xml:space="preserve"> </w:t>
      </w:r>
      <w:r>
        <w:t xml:space="preserve">gli strumenti IaC dentro CI/CD e GitOps [4] e come abilitino automazione e lifecycle in cloud ibridi [5]. Qui l’IaC è un</w:t>
      </w:r>
      <w:r>
        <w:t xml:space="preserve"> </w:t>
      </w:r>
      <w:r>
        <w:rPr>
          <w:i/>
          <w:iCs/>
        </w:rPr>
        <w:t xml:space="preserve">ingrediente del processo</w:t>
      </w:r>
      <w:r>
        <w:t xml:space="preserve">: l’attenzione è sull’orchestrazione di deploy, non sull’organizzazione interna del codice di infrastruttura riusabile tra progetti.</w:t>
      </w:r>
    </w:p>
    <w:p>
      <w:pPr>
        <w:pStyle w:val="BodyText"/>
      </w:pPr>
      <w:r>
        <w:rPr>
          <w:b/>
          <w:bCs/>
        </w:rPr>
        <w:t xml:space="preserve">4) AI/LLM per l’IaC (generativo).</w:t>
      </w:r>
      <w:r>
        <w:t xml:space="preserve"> </w:t>
      </w:r>
      <w:r>
        <w:t xml:space="preserve">Il filone più recente applica AI e LLM alla generazione, completamento e riparazione di codice IaC [2]. L’AI produce o corregge artefatti; resta aperto il problema di</w:t>
      </w:r>
      <w:r>
        <w:t xml:space="preserve"> </w:t>
      </w:r>
      <w:r>
        <w:rPr>
          <w:i/>
          <w:iCs/>
        </w:rPr>
        <w:t xml:space="preserve">quale struttura</w:t>
      </w:r>
      <w:r>
        <w:t xml:space="preserve"> </w:t>
      </w:r>
      <w:r>
        <w:t xml:space="preserve">dare all’output perché sia rivedibile, sicuro e conforme a uno standard di team.</w:t>
      </w:r>
    </w:p>
    <w:bookmarkEnd w:id="15"/>
    <w:bookmarkStart w:id="16" w:name="b.-la-lacuna"/>
    <w:p>
      <w:pPr>
        <w:pStyle w:val="Heading2"/>
      </w:pPr>
      <w:r>
        <w:t xml:space="preserve">B. La lacuna</w:t>
      </w:r>
    </w:p>
    <w:p>
      <w:pPr>
        <w:pStyle w:val="FirstParagraph"/>
      </w:pPr>
      <w:r>
        <w:t xml:space="preserve">Nessuno dei quattro filoni offre una</w:t>
      </w:r>
      <w:r>
        <w:t xml:space="preserve"> </w:t>
      </w:r>
      <w:r>
        <w:rPr>
          <w:b/>
          <w:bCs/>
        </w:rPr>
        <w:t xml:space="preserve">metodologia prescrittiva, provider-agnostica e a livelli</w:t>
      </w:r>
      <w:r>
        <w:t xml:space="preserve"> </w:t>
      </w:r>
      <w:r>
        <w:t xml:space="preserve">per</w:t>
      </w:r>
      <w:r>
        <w:t xml:space="preserve"> </w:t>
      </w:r>
      <w:r>
        <w:rPr>
          <w:i/>
          <w:iCs/>
        </w:rPr>
        <w:t xml:space="preserve">organizzare</w:t>
      </w:r>
      <w:r>
        <w:t xml:space="preserve"> </w:t>
      </w:r>
      <w:r>
        <w:t xml:space="preserve">il codice di infrastruttura riusabile. La letteratura descrive (filone 1), misura (filone 2), inserisce in pipeline (filone 3) o genera (filone 4) l’IaC — ma dà per scontato l’artefatto da analizzare. Il nostro contributo si colloca a monte: definisce</w:t>
      </w:r>
      <w:r>
        <w:t xml:space="preserve"> </w:t>
      </w:r>
      <w:r>
        <w:rPr>
          <w:i/>
          <w:iCs/>
        </w:rPr>
        <w:t xml:space="preserve">come</w:t>
      </w:r>
      <w:r>
        <w:t xml:space="preserve"> </w:t>
      </w:r>
      <w:r>
        <w:t xml:space="preserve">strutturare quell’artefatto.</w:t>
      </w:r>
    </w:p>
    <w:bookmarkEnd w:id="16"/>
    <w:bookmarkStart w:id="17" w:name="c.-il-valore-aggiunto"/>
    <w:p>
      <w:pPr>
        <w:pStyle w:val="Heading2"/>
      </w:pPr>
      <w:r>
        <w:t xml:space="preserve">C. Il valore aggiunto</w:t>
      </w:r>
    </w:p>
    <w:p>
      <w:pPr>
        <w:pStyle w:val="FirstParagraph"/>
      </w:pPr>
      <w:r>
        <w:t xml:space="preserve">Articoliamo la differenza in quattro punti, ciascuno ancorato all’implementazione di riferimento e alle sue decisioni architetturali documentate (ADR).</w:t>
      </w:r>
    </w:p>
    <w:p>
      <w:pPr>
        <w:pStyle w:val="BodyText"/>
      </w:pPr>
      <w:r>
        <w:rPr>
          <w:b/>
          <w:bCs/>
        </w:rPr>
        <w:t xml:space="preserve">(VA1) Dalla rilevazione alla prevenzione-per-costruzione.</w:t>
      </w:r>
      <w:r>
        <w:t xml:space="preserve"> </w:t>
      </w:r>
      <w:r>
        <w:t xml:space="preserve">Dove il filone qualità/sicurezza [3], [7]</w:t>
      </w:r>
      <w:r>
        <w:t xml:space="preserve"> </w:t>
      </w:r>
      <w:r>
        <w:rPr>
          <w:i/>
          <w:iCs/>
        </w:rPr>
        <w:t xml:space="preserve">rileva</w:t>
      </w:r>
      <w:r>
        <w:t xml:space="preserve"> </w:t>
      </w:r>
      <w:r>
        <w:t xml:space="preserve">misconfigurazioni dopo la stesura, la nostra metodologia le rende</w:t>
      </w:r>
      <w:r>
        <w:t xml:space="preserve"> </w:t>
      </w:r>
      <w:r>
        <w:rPr>
          <w:i/>
          <w:iCs/>
        </w:rPr>
        <w:t xml:space="preserve">strutturalmente impossibili</w:t>
      </w:r>
      <w:r>
        <w:t xml:space="preserve">. Esempi concreti:</w:t>
      </w:r>
      <w:r>
        <w:t xml:space="preserve"> </w:t>
      </w:r>
      <w:r>
        <w:t xml:space="preserve">- naming e tagging non sono responsabilità del singolo sviluppatore ma</w:t>
      </w:r>
      <w:r>
        <w:t xml:space="preserve"> </w:t>
      </w:r>
      <w:r>
        <w:rPr>
          <w:i/>
          <w:iCs/>
        </w:rPr>
        <w:t xml:space="preserve">Aspect globali</w:t>
      </w:r>
      <w:r>
        <w:t xml:space="preserve"> </w:t>
      </w:r>
      <w:r>
        <w:t xml:space="preserve">applicati all’intero tree (ADR-004): è impossibile dimenticare un tag o un nome, perché nessuno li scrive a mano;</w:t>
      </w:r>
      <w:r>
        <w:t xml:space="preserve"> </w:t>
      </w:r>
      <w:r>
        <w:t xml:space="preserve">- l’accesso interattivo passa per SSM Session Manager, non SSH: nessuna porta 22 aperta e nessuna chiave PEM da custodire,</w:t>
      </w:r>
      <w:r>
        <w:t xml:space="preserve"> </w:t>
      </w:r>
      <w:r>
        <w:rPr>
          <w:i/>
          <w:iCs/>
        </w:rPr>
        <w:t xml:space="preserve">per default</w:t>
      </w:r>
      <w:r>
        <w:t xml:space="preserve"> </w:t>
      </w:r>
      <w:r>
        <w:t xml:space="preserve">su tutti gli environment (ADR-003) — un’intera classe di smell di sicurezza non può esistere;</w:t>
      </w:r>
      <w:r>
        <w:t xml:space="preserve"> </w:t>
      </w:r>
      <w:r>
        <w:t xml:space="preserve">- i confini tra stack si attraversano con stringhe (ID/ARN), non con oggetti, eliminando per costruzione i riferimenti ciclici (ADR-005).</w:t>
      </w:r>
      <w:r>
        <w:t xml:space="preserve"> </w:t>
      </w:r>
      <w:r>
        <w:t xml:space="preserve">Lo</w:t>
      </w:r>
      <w:r>
        <w:t xml:space="preserve"> </w:t>
      </w:r>
      <w:r>
        <w:rPr>
          <w:i/>
          <w:iCs/>
        </w:rPr>
        <w:t xml:space="preserve">shift-left</w:t>
      </w:r>
      <w:r>
        <w:t xml:space="preserve"> </w:t>
      </w:r>
      <w:r>
        <w:t xml:space="preserve">qui non è uno strumento di analisi in pipeline, ma il modello di composizione stesso.</w:t>
      </w:r>
    </w:p>
    <w:p>
      <w:pPr>
        <w:pStyle w:val="BodyText"/>
      </w:pPr>
      <w:r>
        <w:rPr>
          <w:b/>
          <w:bCs/>
        </w:rPr>
        <w:t xml:space="preserve">(VA2) Standardizzazione al SuperTemplate, variazione solo in configurazione.</w:t>
      </w:r>
      <w:r>
        <w:t xml:space="preserve"> </w:t>
      </w:r>
      <w:r>
        <w:t xml:space="preserve">A differenza dei moduli riusabili</w:t>
      </w:r>
      <w:r>
        <w:t xml:space="preserve"> </w:t>
      </w:r>
      <w:r>
        <w:t xml:space="preserve">“piatti”</w:t>
      </w:r>
      <w:r>
        <w:t xml:space="preserve"> </w:t>
      </w:r>
      <w:r>
        <w:t xml:space="preserve">(un modulo Terraform, un construct library), la metodologia separa esplicitamente il livello di</w:t>
      </w:r>
      <w:r>
        <w:t xml:space="preserve"> </w:t>
      </w:r>
      <w:r>
        <w:rPr>
          <w:i/>
          <w:iCs/>
        </w:rPr>
        <w:t xml:space="preserve">standardizzazione</w:t>
      </w:r>
      <w:r>
        <w:t xml:space="preserve"> </w:t>
      </w:r>
      <w:r>
        <w:t xml:space="preserve">(SuperTemplate) dal livello di</w:t>
      </w:r>
      <w:r>
        <w:t xml:space="preserve"> </w:t>
      </w:r>
      <w:r>
        <w:rPr>
          <w:i/>
          <w:iCs/>
        </w:rPr>
        <w:t xml:space="preserve">istanza</w:t>
      </w:r>
      <w:r>
        <w:t xml:space="preserve"> </w:t>
      </w:r>
      <w:r>
        <w:t xml:space="preserve">(App): il codice si scrive una volta e si istanzia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volte senza divergenza, con le feature opzionali dichiarate in configurazione e</w:t>
      </w:r>
      <w:r>
        <w:t xml:space="preserve"> </w:t>
      </w:r>
      <w:r>
        <w:rPr>
          <w:i/>
          <w:iCs/>
        </w:rPr>
        <w:t xml:space="preserve">fail-closed</w:t>
      </w:r>
      <w:r>
        <w:t xml:space="preserve"> </w:t>
      </w:r>
      <w:r>
        <w:t xml:space="preserve">(ADR-002). È questa proprietà — non il semplice riuso di moduli — che dà la risposta operativa al</w:t>
      </w:r>
      <w:r>
        <w:t xml:space="preserve"> </w:t>
      </w:r>
      <w:r>
        <w:t xml:space="preserve">“come scalare”</w:t>
      </w:r>
      <w:r>
        <w:t xml:space="preserve"> </w:t>
      </w:r>
      <w:r>
        <w:t xml:space="preserve">che i lavori di visione [5], [6] lasciano sul piano concettuale.</w:t>
      </w:r>
    </w:p>
    <w:p>
      <w:pPr>
        <w:pStyle w:val="BodyText"/>
      </w:pPr>
      <w:r>
        <w:rPr>
          <w:b/>
          <w:bCs/>
        </w:rPr>
        <w:t xml:space="preserve">(VA3) Indipendenza dal provider e dal motore, formalizzata.</w:t>
      </w:r>
      <w:r>
        <w:t xml:space="preserve"> </w:t>
      </w:r>
      <w:r>
        <w:t xml:space="preserve">Il modello a due assi (livelli × pillar, §III) isola ciò che è provider-specifico (la sola foglia</w:t>
      </w:r>
      <w:r>
        <w:t xml:space="preserve"> </w:t>
      </w:r>
      <w:r>
        <w:rPr>
          <w:i/>
          <w:iCs/>
        </w:rPr>
        <w:t xml:space="preserve">Risorsa</w:t>
      </w:r>
      <w:r>
        <w:t xml:space="preserve"> </w:t>
      </w:r>
      <w:r>
        <w:t xml:space="preserve">e il motore IaC) da ciò che è invariante (livelli e pillar). Ne deriva una doppia istanziazione — CDK-oriented e Terraform-oriented — della</w:t>
      </w:r>
      <w:r>
        <w:t xml:space="preserve"> </w:t>
      </w:r>
      <w:r>
        <w:rPr>
          <w:i/>
          <w:iCs/>
        </w:rPr>
        <w:t xml:space="preserve">stessa</w:t>
      </w:r>
      <w:r>
        <w:t xml:space="preserve"> </w:t>
      </w:r>
      <w:r>
        <w:t xml:space="preserve">metodologia. La portabilità non è un’affermazione ma una conseguenza strutturale del modello.</w:t>
      </w:r>
    </w:p>
    <w:p>
      <w:pPr>
        <w:pStyle w:val="BodyText"/>
      </w:pPr>
      <w:r>
        <w:rPr>
          <w:b/>
          <w:bCs/>
        </w:rPr>
        <w:t xml:space="preserve">(VA4) GenAI come assistente dentro una struttura, non generazione libera.</w:t>
      </w:r>
      <w:r>
        <w:t xml:space="preserve"> </w:t>
      </w:r>
      <w:r>
        <w:t xml:space="preserve">Mentre il filone AI-for-IaC [2] applica LLM alla generazione free-form, noi integriamo la GenAI (Kiro)</w:t>
      </w:r>
      <w:r>
        <w:t xml:space="preserve"> </w:t>
      </w:r>
      <w:r>
        <w:rPr>
          <w:i/>
          <w:iCs/>
        </w:rPr>
        <w:t xml:space="preserve">all’interno</w:t>
      </w:r>
      <w:r>
        <w:t xml:space="preserve"> </w:t>
      </w:r>
      <w:r>
        <w:t xml:space="preserve">della metodologia: i livelli (costrutto/stack/pillar) e gli ADR forniscono al modello un bersaglio vincolato e rivedibile. La struttura riduce lo spazio di output dell’LLM a contributi conformi allo standard di team — affrontando proprio il problema di rivedibilità e conformità che la generazione libera lascia aperto.</w:t>
      </w:r>
    </w:p>
    <w:bookmarkEnd w:id="17"/>
    <w:bookmarkStart w:id="18" w:name="d.-sintesi-del-posizionamento"/>
    <w:p>
      <w:pPr>
        <w:pStyle w:val="Heading2"/>
      </w:pPr>
      <w:r>
        <w:t xml:space="preserve">D. Sintesi del posizionamento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Filone</w:t>
            </w:r>
          </w:p>
        </w:tc>
        <w:tc>
          <w:tcPr/>
          <w:p>
            <w:pPr>
              <w:pStyle w:val="Compact"/>
            </w:pPr>
            <w:r>
              <w:t xml:space="preserve">Cosa offre</w:t>
            </w:r>
          </w:p>
        </w:tc>
        <w:tc>
          <w:tcPr/>
          <w:p>
            <w:pPr>
              <w:pStyle w:val="Compact"/>
            </w:pPr>
            <w:r>
              <w:t xml:space="preserve">Cosa lascia aperto</w:t>
            </w:r>
          </w:p>
        </w:tc>
        <w:tc>
          <w:tcPr/>
          <w:p>
            <w:pPr>
              <w:pStyle w:val="Compact"/>
            </w:pPr>
            <w:r>
              <w:t xml:space="preserve">Come lo affrontiamo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Mappatura/visione [1],[6]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cosa</w:t>
            </w:r>
            <w:r>
              <w:t xml:space="preserve"> </w:t>
            </w:r>
            <w:r>
              <w:t xml:space="preserve">è l’IaC, benefici di scala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come</w:t>
            </w:r>
            <w:r>
              <w:t xml:space="preserve"> </w:t>
            </w:r>
            <w:r>
              <w:t xml:space="preserve">strutturarlo per scalare</w:t>
            </w:r>
          </w:p>
        </w:tc>
        <w:tc>
          <w:tcPr/>
          <w:p>
            <w:pPr>
              <w:pStyle w:val="Compact"/>
            </w:pPr>
            <w:r>
              <w:t xml:space="preserve">modello a livelli × pillar (§III)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Qualità/difetti [3],[7]</w:t>
            </w:r>
          </w:p>
        </w:tc>
        <w:tc>
          <w:tcPr/>
          <w:p>
            <w:pPr>
              <w:pStyle w:val="Compact"/>
            </w:pPr>
            <w:r>
              <w:t xml:space="preserve">rilevazione post-hoc di smell</w:t>
            </w:r>
          </w:p>
        </w:tc>
        <w:tc>
          <w:tcPr/>
          <w:p>
            <w:pPr>
              <w:pStyle w:val="Compact"/>
            </w:pPr>
            <w:r>
              <w:t xml:space="preserve">prevenzione per costruzione</w:t>
            </w:r>
          </w:p>
        </w:tc>
        <w:tc>
          <w:tcPr/>
          <w:p>
            <w:pPr>
              <w:pStyle w:val="Compact"/>
            </w:pPr>
            <w:r>
              <w:t xml:space="preserve">Aspect, SSM-default, stringhe cross-stack (VA1)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 in CI/CD [4],[5]</w:t>
            </w:r>
          </w:p>
        </w:tc>
        <w:tc>
          <w:tcPr/>
          <w:p>
            <w:pPr>
              <w:pStyle w:val="Compact"/>
            </w:pPr>
            <w:r>
              <w:t xml:space="preserve">uso in pipeline DevOps</w:t>
            </w:r>
          </w:p>
        </w:tc>
        <w:tc>
          <w:tcPr/>
          <w:p>
            <w:pPr>
              <w:pStyle w:val="Compact"/>
            </w:pPr>
            <w:r>
              <w:t xml:space="preserve">organizzazione del codice riusabile</w:t>
            </w:r>
          </w:p>
        </w:tc>
        <w:tc>
          <w:tcPr/>
          <w:p>
            <w:pPr>
              <w:pStyle w:val="Compact"/>
            </w:pPr>
            <w:r>
              <w:t xml:space="preserve">SuperTemplate vs App (VA2)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AI/LLM per IaC [2]</w:t>
            </w:r>
          </w:p>
        </w:tc>
        <w:tc>
          <w:tcPr/>
          <w:p>
            <w:pPr>
              <w:pStyle w:val="Compact"/>
            </w:pPr>
            <w:r>
              <w:t xml:space="preserve">generazione/riparazione</w:t>
            </w:r>
          </w:p>
        </w:tc>
        <w:tc>
          <w:tcPr/>
          <w:p>
            <w:pPr>
              <w:pStyle w:val="Compact"/>
            </w:pPr>
            <w:r>
              <w:t xml:space="preserve">struttura rivedibile e conforme</w:t>
            </w:r>
          </w:p>
        </w:tc>
        <w:tc>
          <w:tcPr/>
          <w:p>
            <w:pPr>
              <w:pStyle w:val="Compact"/>
            </w:pPr>
            <w:r>
              <w:t xml:space="preserve">GenAI vincolata dalla metodologia (VA4)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9e2b1b56c36b794185d8cc3e7c35c73097a1a90"/>
    <w:p>
      <w:pPr>
        <w:pStyle w:val="Heading2"/>
      </w:pPr>
      <w:r>
        <w:t xml:space="preserve">Riferimenti (dalla tabella del prof — da formattare in stile IEEE)</w:t>
      </w:r>
    </w:p>
    <w:p>
      <w:pPr>
        <w:pStyle w:val="Compact"/>
        <w:numPr>
          <w:ilvl w:val="0"/>
          <w:numId w:val="1004"/>
        </w:numPr>
      </w:pPr>
      <w:r>
        <w:t xml:space="preserve">[1]</w:t>
      </w:r>
      <w:r>
        <w:t xml:space="preserve"> </w:t>
      </w:r>
      <w:r>
        <w:rPr>
          <w:i/>
          <w:iCs/>
        </w:rPr>
        <w:t xml:space="preserve">A Systematic Mapping Study of Infrastructure as Code Research</w:t>
      </w:r>
      <w:r>
        <w:t xml:space="preserve"> </w:t>
      </w:r>
      <w:r>
        <w:t xml:space="preserve">— Systematic Mapping. https://doi.org/10.1016/j.jss.2018.10.044</w:t>
      </w:r>
    </w:p>
    <w:p>
      <w:pPr>
        <w:pStyle w:val="Compact"/>
        <w:numPr>
          <w:ilvl w:val="0"/>
          <w:numId w:val="1004"/>
        </w:numPr>
      </w:pPr>
      <w:r>
        <w:t xml:space="preserve">[2]</w:t>
      </w:r>
      <w:r>
        <w:t xml:space="preserve"> </w:t>
      </w:r>
      <w:r>
        <w:rPr>
          <w:i/>
          <w:iCs/>
        </w:rPr>
        <w:t xml:space="preserve">Artificial Intelligence for Infrastructure-as-Code: A Systematic Literature Review</w:t>
      </w:r>
      <w:r>
        <w:t xml:space="preserve"> </w:t>
      </w:r>
      <w:r>
        <w:t xml:space="preserve">— Systematic Review. https://www.mdpi.com/2079-9292/15/4/755</w:t>
      </w:r>
    </w:p>
    <w:p>
      <w:pPr>
        <w:pStyle w:val="Compact"/>
        <w:numPr>
          <w:ilvl w:val="0"/>
          <w:numId w:val="1004"/>
        </w:numPr>
      </w:pPr>
      <w:r>
        <w:t xml:space="preserve">[3]</w:t>
      </w:r>
      <w:r>
        <w:t xml:space="preserve"> </w:t>
      </w:r>
      <w:r>
        <w:rPr>
          <w:i/>
          <w:iCs/>
        </w:rPr>
        <w:t xml:space="preserve">Static Analysis of Infrastructure as Code: A Survey</w:t>
      </w:r>
      <w:r>
        <w:t xml:space="preserve"> </w:t>
      </w:r>
      <w:r>
        <w:t xml:space="preserve">— Survey. https://arxiv.org/abs/2206.10344</w:t>
      </w:r>
    </w:p>
    <w:p>
      <w:pPr>
        <w:pStyle w:val="Compact"/>
        <w:numPr>
          <w:ilvl w:val="0"/>
          <w:numId w:val="1004"/>
        </w:numPr>
      </w:pPr>
      <w:r>
        <w:t xml:space="preserve">[4]</w:t>
      </w:r>
      <w:r>
        <w:t xml:space="preserve"> </w:t>
      </w:r>
      <w:r>
        <w:rPr>
          <w:i/>
          <w:iCs/>
        </w:rPr>
        <w:t xml:space="preserve">How IaC Tools Can Be Used in CI/CD Pipelines</w:t>
      </w:r>
      <w:r>
        <w:t xml:space="preserve"> </w:t>
      </w:r>
      <w:r>
        <w:t xml:space="preserve">— Empirical/Applied. https://aijcst.org/index.php/aijcst/article/view/95</w:t>
      </w:r>
    </w:p>
    <w:p>
      <w:pPr>
        <w:pStyle w:val="Compact"/>
        <w:numPr>
          <w:ilvl w:val="0"/>
          <w:numId w:val="1004"/>
        </w:numPr>
      </w:pPr>
      <w:r>
        <w:t xml:space="preserve">[5]</w:t>
      </w:r>
      <w:r>
        <w:t xml:space="preserve"> </w:t>
      </w:r>
      <w:r>
        <w:rPr>
          <w:i/>
          <w:iCs/>
        </w:rPr>
        <w:t xml:space="preserve">Implementing IaC for Scalable DevOps Automation in Hybrid Cloud</w:t>
      </w:r>
      <w:r>
        <w:t xml:space="preserve"> </w:t>
      </w:r>
      <w:r>
        <w:t xml:space="preserve">— Applied Research. https://doi.org/10.13140/RG.2.2.12345.67890</w:t>
      </w:r>
    </w:p>
    <w:p>
      <w:pPr>
        <w:pStyle w:val="Compact"/>
        <w:numPr>
          <w:ilvl w:val="0"/>
          <w:numId w:val="1004"/>
        </w:numPr>
      </w:pPr>
      <w:r>
        <w:t xml:space="preserve">[6]</w:t>
      </w:r>
      <w:r>
        <w:t xml:space="preserve"> </w:t>
      </w:r>
      <w:r>
        <w:rPr>
          <w:i/>
          <w:iCs/>
        </w:rPr>
        <w:t xml:space="preserve">Infrastructure as Code: Achieving Scalability and Agility in IT Operations</w:t>
      </w:r>
      <w:r>
        <w:t xml:space="preserve"> </w:t>
      </w:r>
      <w:r>
        <w:t xml:space="preserve">— Conceptual/Applied. https://ephijse.com/index.php/SE/article/view/240</w:t>
      </w:r>
    </w:p>
    <w:p>
      <w:pPr>
        <w:pStyle w:val="Compact"/>
        <w:numPr>
          <w:ilvl w:val="0"/>
          <w:numId w:val="1004"/>
        </w:numPr>
      </w:pPr>
      <w:r>
        <w:t xml:space="preserve">[7]</w:t>
      </w:r>
      <w:r>
        <w:t xml:space="preserve"> </w:t>
      </w:r>
      <w:r>
        <w:rPr>
          <w:i/>
          <w:iCs/>
        </w:rPr>
        <w:t xml:space="preserve">Bugs in Infrastructure as Code</w:t>
      </w:r>
      <w:r>
        <w:t xml:space="preserve"> </w:t>
      </w:r>
      <w:r>
        <w:t xml:space="preserve">— Empirical Study.</w:t>
      </w:r>
    </w:p>
    <w:p>
      <w:pPr>
        <w:pStyle w:val="BlockText"/>
      </w:pPr>
      <w:r>
        <w:t xml:space="preserve">Nota: il link [5] (RG.2.2.12345.67890) sembra un DOI segnaposto — da verificare prima della</w:t>
      </w:r>
      <w:r>
        <w:t xml:space="preserve"> </w:t>
      </w:r>
      <w:r>
        <w:t xml:space="preserve">submission. Verificare anche dettagli bibliografici completi (autori, anno, venue) di tutti i [n].</w:t>
      </w:r>
    </w:p>
    <w:bookmarkEnd w:id="19"/>
    <w:bookmarkEnd w:id="20"/>
    <w:bookmarkStart w:id="24" w:name="iii-un-modello-a-due-assi-per-liaac"/>
    <w:p>
      <w:pPr>
        <w:pStyle w:val="Heading1"/>
      </w:pPr>
      <w:r>
        <w:t xml:space="preserve">§III — Un modello a due assi per l’IaaC</w:t>
      </w:r>
    </w:p>
    <w:p>
      <w:pPr>
        <w:pStyle w:val="BlockText"/>
      </w:pPr>
      <w:r>
        <w:t xml:space="preserve">Bozza in italiano (da tradurre in inglese in fase finale). Ancorata al repo</w:t>
      </w:r>
      <w:r>
        <w:t xml:space="preserve"> </w:t>
      </w:r>
      <w:r>
        <w:rPr>
          <w:rStyle w:val="VerbatimChar"/>
        </w:rPr>
        <w:t xml:space="preserve">template-cdk</w:t>
      </w:r>
      <w:r>
        <w:t xml:space="preserve">.</w:t>
      </w:r>
    </w:p>
    <w:p>
      <w:pPr>
        <w:pStyle w:val="FirstParagraph"/>
      </w:pPr>
      <w:r>
        <w:t xml:space="preserve">Una metodologia template-based deve rispondere a due domande indipendenti:</w:t>
      </w:r>
      <w:r>
        <w:t xml:space="preserve"> </w:t>
      </w:r>
      <w:r>
        <w:rPr>
          <w:i/>
          <w:iCs/>
        </w:rPr>
        <w:t xml:space="preserve">con quale granularità si compone l’infrastruttura</w:t>
      </w:r>
      <w:r>
        <w:t xml:space="preserve"> </w:t>
      </w:r>
      <w:r>
        <w:t xml:space="preserve">(granularità) e</w:t>
      </w:r>
      <w:r>
        <w:t xml:space="preserve"> </w:t>
      </w:r>
      <w:r>
        <w:rPr>
          <w:i/>
          <w:iCs/>
        </w:rPr>
        <w:t xml:space="preserve">quali esigenze funzionali ogni deployment deve coprire</w:t>
      </w:r>
      <w:r>
        <w:t xml:space="preserve"> </w:t>
      </w:r>
      <w:r>
        <w:t xml:space="preserve">(copertura). Sosteniamo che siano</w:t>
      </w:r>
      <w:r>
        <w:t xml:space="preserve"> </w:t>
      </w:r>
      <w:r>
        <w:rPr>
          <w:b/>
          <w:bCs/>
        </w:rPr>
        <w:t xml:space="preserve">due assi ortogonali</w:t>
      </w:r>
      <w:r>
        <w:t xml:space="preserve">, e che confonderli sia la causa profonda della scarsa riusabilità che si osserva nella pratica IaC. La nostra metodologia organizza quindi qualsiasi artefatto Infrastructure-as-Code lungo un</w:t>
      </w:r>
      <w:r>
        <w:t xml:space="preserve"> </w:t>
      </w:r>
      <w:r>
        <w:rPr>
          <w:b/>
          <w:bCs/>
        </w:rPr>
        <w:t xml:space="preserve">asse verticale di livelli di composizione</w:t>
      </w:r>
      <w:r>
        <w:t xml:space="preserve"> </w:t>
      </w:r>
      <w:r>
        <w:t xml:space="preserve">e un</w:t>
      </w:r>
      <w:r>
        <w:t xml:space="preserve"> </w:t>
      </w:r>
      <w:r>
        <w:rPr>
          <w:b/>
          <w:bCs/>
        </w:rPr>
        <w:t xml:space="preserve">asse orizzontale di pillar funzionali</w:t>
      </w:r>
      <w:r>
        <w:t xml:space="preserve">.</w:t>
      </w:r>
    </w:p>
    <w:bookmarkStart w:id="21" w:name="X15d1620b43afb3b3dcc4baecf9a905d6168e0e5"/>
    <w:p>
      <w:pPr>
        <w:pStyle w:val="Heading2"/>
      </w:pPr>
      <w:r>
        <w:t xml:space="preserve">A. Asse verticale — i Livelli di composizione</w:t>
      </w:r>
    </w:p>
    <w:p>
      <w:pPr>
        <w:pStyle w:val="FirstParagraph"/>
      </w:pPr>
      <w:r>
        <w:t xml:space="preserve">Dal più fine al più grossolano, ogni livello</w:t>
      </w:r>
      <w:r>
        <w:t xml:space="preserve"> </w:t>
      </w:r>
      <w:r>
        <w:rPr>
          <w:i/>
          <w:iCs/>
        </w:rPr>
        <w:t xml:space="preserve">compone</w:t>
      </w:r>
      <w:r>
        <w:t xml:space="preserve"> </w:t>
      </w:r>
      <w:r>
        <w:t xml:space="preserve">quello sottostante ed espone all’alto un’interfaccia più stretta e più dichiarativa: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Risorsa</w:t>
      </w:r>
      <w:r>
        <w:t xml:space="preserve"> </w:t>
      </w:r>
      <w:r>
        <w:t xml:space="preserve">— la primitiva nativa del provider (es. un’istanza EC2, una VPC, un bucket S3). È l’unico livello intrinsecamente legato al provider, ed è l’unico che il</w:t>
      </w:r>
      <w:r>
        <w:t xml:space="preserve"> </w:t>
      </w:r>
      <w:r>
        <w:rPr>
          <w:i/>
          <w:iCs/>
        </w:rPr>
        <w:t xml:space="preserve">motore</w:t>
      </w:r>
      <w:r>
        <w:t xml:space="preserve"> </w:t>
      </w:r>
      <w:r>
        <w:t xml:space="preserve">IaC (CloudFormation, ARM, Deployment Manager) istanzia direttamente.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Costrutto</w:t>
      </w:r>
      <w:r>
        <w:t xml:space="preserve"> </w:t>
      </w:r>
      <w:r>
        <w:t xml:space="preserve">— un’astrazione di codice che incapsula una o più risorse insieme alle best practice che richiedono (cifratura di default, ruoli a privilegio minimo, default sensati). Il costrutto è l’unità di</w:t>
      </w:r>
      <w:r>
        <w:t xml:space="preserve"> </w:t>
      </w:r>
      <w:r>
        <w:rPr>
          <w:i/>
          <w:iCs/>
        </w:rPr>
        <w:t xml:space="preserve">riuso</w:t>
      </w:r>
      <w:r>
        <w:t xml:space="preserve">: nell’implementazione di riferimento,</w:t>
      </w:r>
      <w:r>
        <w:t xml:space="preserve"> </w:t>
      </w:r>
      <w:r>
        <w:rPr>
          <w:rStyle w:val="VerbatimChar"/>
        </w:rPr>
        <w:t xml:space="preserve">lib/constructs/networking/vpc.ts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compute/ec2-instance.ts</w:t>
      </w:r>
      <w:r>
        <w:t xml:space="preserve"> </w:t>
      </w:r>
      <w:r>
        <w:t xml:space="preserve">racchiudono ciascuno una porzione coerente di risorse dietro un’interfaccia tipizzata.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Stack</w:t>
      </w:r>
      <w:r>
        <w:t xml:space="preserve"> </w:t>
      </w:r>
      <w:r>
        <w:t xml:space="preserve">— un gruppo deployabile di costrutti che forma un’unità di ciclo di vita e un confine di fallimento e rollback. Gli stack dichiarano le proprie dipendenze in modo</w:t>
      </w:r>
      <w:r>
        <w:t xml:space="preserve"> </w:t>
      </w:r>
      <w:r>
        <w:rPr>
          <w:i/>
          <w:iCs/>
        </w:rPr>
        <w:t xml:space="preserve">esplicito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ComputeStack</w:t>
      </w:r>
      <w:r>
        <w:t xml:space="preserve"> </w:t>
      </w:r>
      <w:r>
        <w:t xml:space="preserve">dipende da</w:t>
      </w:r>
      <w:r>
        <w:t xml:space="preserve"> </w:t>
      </w:r>
      <w:r>
        <w:rPr>
          <w:rStyle w:val="VerbatimChar"/>
        </w:rPr>
        <w:t xml:space="preserve">NetworkStack</w:t>
      </w:r>
      <w:r>
        <w:t xml:space="preserve">), il che rende il deployment un grafo aciclico diretto invece che un ordinamento implicito. Lo stack è l’unità di</w:t>
      </w:r>
      <w:r>
        <w:t xml:space="preserve"> </w:t>
      </w:r>
      <w:r>
        <w:rPr>
          <w:i/>
          <w:iCs/>
        </w:rPr>
        <w:t xml:space="preserve">deployment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SuperTemplate</w:t>
      </w:r>
      <w:r>
        <w:t xml:space="preserve"> </w:t>
      </w:r>
      <w:r>
        <w:t xml:space="preserve">— l’assemblaggio riusabile e parametrizzato di costrutti, stack, configurazione, validazione e policy trasversali che si clona per avviare un nuovo progetto. È un</w:t>
      </w:r>
      <w:r>
        <w:t xml:space="preserve"> </w:t>
      </w:r>
      <w:r>
        <w:rPr>
          <w:i/>
          <w:iCs/>
        </w:rPr>
        <w:t xml:space="preserve">template di template</w:t>
      </w:r>
      <w:r>
        <w:t xml:space="preserve">: non descrive una singola infrastruttura ma una</w:t>
      </w:r>
      <w:r>
        <w:t xml:space="preserve"> </w:t>
      </w:r>
      <w:r>
        <w:rPr>
          <w:i/>
          <w:iCs/>
        </w:rPr>
        <w:t xml:space="preserve">famiglia</w:t>
      </w:r>
      <w:r>
        <w:t xml:space="preserve"> </w:t>
      </w:r>
      <w:r>
        <w:t xml:space="preserve">di infrastrutture, selezionata dalla configurazione. Il suo motore di composizione (</w:t>
      </w:r>
      <w:r>
        <w:rPr>
          <w:rStyle w:val="VerbatimChar"/>
        </w:rPr>
        <w:t xml:space="preserve">InfrastructureApp</w:t>
      </w:r>
      <w:r>
        <w:t xml:space="preserve">) decide quali stack esistono, sotto quali feature flag, e con quali dipendenze. Il SuperTemplate è l’unità di</w:t>
      </w:r>
      <w:r>
        <w:t xml:space="preserve"> </w:t>
      </w:r>
      <w:r>
        <w:rPr>
          <w:i/>
          <w:iCs/>
        </w:rPr>
        <w:t xml:space="preserve">standardizzazione</w:t>
      </w:r>
      <w:r>
        <w:t xml:space="preserve"> </w:t>
      </w:r>
      <w:r>
        <w:t xml:space="preserve">tra progetti diversi.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App</w:t>
      </w:r>
      <w:r>
        <w:t xml:space="preserve"> </w:t>
      </w:r>
      <w:r>
        <w:t xml:space="preserve">— un’istanza concreta del SuperTemplate vincolata a una singola tupla ⟨progetto, environment, account, region⟩ (es.</w:t>
      </w:r>
      <w:r>
        <w:t xml:space="preserve"> </w:t>
      </w:r>
      <w:r>
        <w:rPr>
          <w:i/>
          <w:iCs/>
        </w:rPr>
        <w:t xml:space="preserve">dev</w:t>
      </w:r>
      <w:r>
        <w:t xml:space="preserve">,</w:t>
      </w:r>
      <w:r>
        <w:t xml:space="preserve"> </w:t>
      </w:r>
      <w:r>
        <w:rPr>
          <w:i/>
          <w:iCs/>
        </w:rPr>
        <w:t xml:space="preserve">staging</w:t>
      </w:r>
      <w:r>
        <w:t xml:space="preserve">,</w:t>
      </w:r>
      <w:r>
        <w:t xml:space="preserve"> </w:t>
      </w:r>
      <w:r>
        <w:rPr>
          <w:i/>
          <w:iCs/>
        </w:rPr>
        <w:t xml:space="preserve">prod</w:t>
      </w:r>
      <w:r>
        <w:t xml:space="preserve">). L’App è l’unità di</w:t>
      </w:r>
      <w:r>
        <w:t xml:space="preserve"> </w:t>
      </w:r>
      <w:r>
        <w:rPr>
          <w:i/>
          <w:iCs/>
        </w:rPr>
        <w:t xml:space="preserve">delivery</w:t>
      </w:r>
      <w:r>
        <w:t xml:space="preserve">: lo stesso SuperTemplate produce un’App per ciascun environment, ognuna diversa solo per configurazione, mai per codice.</w:t>
      </w:r>
    </w:p>
    <w:p>
      <w:pPr>
        <w:pStyle w:val="FirstParagraph"/>
      </w:pPr>
      <w:r>
        <w:t xml:space="preserve">La tesi metodologica è che</w:t>
      </w:r>
      <w:r>
        <w:t xml:space="preserve"> </w:t>
      </w:r>
      <w:r>
        <w:rPr>
          <w:b/>
          <w:bCs/>
        </w:rPr>
        <w:t xml:space="preserve">la standardizzazione vive a livello SuperTemplate, mentre la variazione è spinta interamente nella configurazione a livello App</w:t>
      </w:r>
      <w:r>
        <w:t xml:space="preserve">. Il codice si scrive una volta (Costrutto/Stack), si assembla una volta (SuperTemplate) e si istanzia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volte (App) con zero divergenza di codice tra environment — la proprietà che permette all’approccio di scalare a molti progetti e account senza fork.</w:t>
      </w:r>
    </w:p>
    <w:bookmarkEnd w:id="21"/>
    <w:bookmarkStart w:id="22" w:name="b.-asse-orizzontale-i-pillar-funzionali"/>
    <w:p>
      <w:pPr>
        <w:pStyle w:val="Heading2"/>
      </w:pPr>
      <w:r>
        <w:t xml:space="preserve">B. Asse orizzontale — i Pillar funzionali</w:t>
      </w:r>
    </w:p>
    <w:p>
      <w:pPr>
        <w:pStyle w:val="FirstParagraph"/>
      </w:pPr>
      <w:r>
        <w:t xml:space="preserve">Ortogonali ai livelli, ogni deployment non banale deve affrontare un insieme ricorrente di</w:t>
      </w:r>
      <w:r>
        <w:t xml:space="preserve"> </w:t>
      </w:r>
      <w:r>
        <w:rPr>
          <w:b/>
          <w:bCs/>
        </w:rPr>
        <w:t xml:space="preserve">pillar funzionali</w:t>
      </w:r>
      <w:r>
        <w:t xml:space="preserve"> </w:t>
      </w:r>
      <w:r>
        <w:t xml:space="preserve">— esigenze che esistono in</w:t>
      </w:r>
      <w:r>
        <w:t xml:space="preserve"> </w:t>
      </w:r>
      <w:r>
        <w:rPr>
          <w:i/>
          <w:iCs/>
        </w:rPr>
        <w:t xml:space="preserve">ogni</w:t>
      </w:r>
      <w:r>
        <w:t xml:space="preserve"> </w:t>
      </w:r>
      <w:r>
        <w:t xml:space="preserve">provider cloud, anche se le risorse che le realizzano differiscono. Li ordiniamo secondo la loro dipendenza naturale, dalla fondazione al trasversale: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DNS &amp; Naming</w:t>
      </w:r>
      <w:r>
        <w:t xml:space="preserve"> </w:t>
      </w:r>
      <w:r>
        <w:t xml:space="preserve">— indirizzabilità e uno schema di naming deterministico e privo di collisioni.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Networking</w:t>
      </w:r>
      <w:r>
        <w:t xml:space="preserve"> </w:t>
      </w:r>
      <w:r>
        <w:t xml:space="preserve">— VPC/VNet, subnet, routing, security group: il substrato di connettività.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Sicurezza &amp; Certificati</w:t>
      </w:r>
      <w:r>
        <w:t xml:space="preserve"> </w:t>
      </w:r>
      <w:r>
        <w:t xml:space="preserve">— identità (ruoli a privilegio minimo), materiale TLS, segreti.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Compute &amp; Storage</w:t>
      </w:r>
      <w:r>
        <w:t xml:space="preserve"> </w:t>
      </w:r>
      <w:r>
        <w:t xml:space="preserve">— le risorse che ospitano il carico di lavoro.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Monitoring</w:t>
      </w:r>
      <w:r>
        <w:t xml:space="preserve"> </w:t>
      </w:r>
      <w:r>
        <w:t xml:space="preserve">— metriche, allarmi, dashboard.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— log, tracce, policy di retention.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Cost</w:t>
      </w:r>
      <w:r>
        <w:t xml:space="preserve"> </w:t>
      </w:r>
      <w:r>
        <w:t xml:space="preserve">— budget, tag di allocazione costi, ottimizzazione (es. spegnimento programmato).</w:t>
      </w:r>
    </w:p>
    <w:p>
      <w:pPr>
        <w:pStyle w:val="FirstParagraph"/>
      </w:pPr>
      <w:r>
        <w:t xml:space="preserve">Un pillar è un</w:t>
      </w:r>
      <w:r>
        <w:t xml:space="preserve"> </w:t>
      </w:r>
      <w:r>
        <w:rPr>
          <w:i/>
          <w:iCs/>
        </w:rPr>
        <w:t xml:space="preserve">concetto</w:t>
      </w:r>
      <w:r>
        <w:t xml:space="preserve">, non una risorsa: il pillar</w:t>
      </w:r>
      <w:r>
        <w:t xml:space="preserve"> </w:t>
      </w:r>
      <w:r>
        <w:rPr>
          <w:i/>
          <w:iCs/>
        </w:rPr>
        <w:t xml:space="preserve">Monitoring</w:t>
      </w:r>
      <w:r>
        <w:t xml:space="preserve"> </w:t>
      </w:r>
      <w:r>
        <w:t xml:space="preserve">è CloudWatch su AWS, Azure Monitor su Azure, Cloud Monitoring su GCP, ma l’obbligo metodologico —</w:t>
      </w:r>
      <w:r>
        <w:t xml:space="preserve"> </w:t>
      </w:r>
      <w:r>
        <w:t xml:space="preserve">“ogni App dichiara la propria postura di monitoring”</w:t>
      </w:r>
      <w:r>
        <w:t xml:space="preserve"> </w:t>
      </w:r>
      <w:r>
        <w:t xml:space="preserve">— è invariante. Nell’implementazione di riferimento ogni pillar si materializza come uno o più stack/costrutti (es.</w:t>
      </w:r>
      <w:r>
        <w:t xml:space="preserve"> </w:t>
      </w:r>
      <w:r>
        <w:rPr>
          <w:i/>
          <w:iCs/>
        </w:rPr>
        <w:t xml:space="preserve">Networking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NetworkStack</w:t>
      </w:r>
      <w:r>
        <w:t xml:space="preserve">,</w:t>
      </w:r>
      <w:r>
        <w:t xml:space="preserve"> </w:t>
      </w:r>
      <w:r>
        <w:rPr>
          <w:i/>
          <w:iCs/>
        </w:rPr>
        <w:t xml:space="preserve">Cost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CostOptimizationStack</w:t>
      </w:r>
      <w:r>
        <w:t xml:space="preserve">), molti dei quali attivabili per-environment tramite feature flag.</w:t>
      </w:r>
    </w:p>
    <w:bookmarkEnd w:id="22"/>
    <w:bookmarkStart w:id="23" w:name="c.-indipendenza-dal-provider-rq1"/>
    <w:p>
      <w:pPr>
        <w:pStyle w:val="Heading2"/>
      </w:pPr>
      <w:r>
        <w:t xml:space="preserve">C. Indipendenza dal provider (RQ1)</w:t>
      </w:r>
    </w:p>
    <w:p>
      <w:pPr>
        <w:pStyle w:val="FirstParagraph"/>
      </w:pPr>
      <w:r>
        <w:t xml:space="preserve">Il modello a due assi risponde direttamente alla domanda se la metodologia sia indipendente da AWS.</w:t>
      </w:r>
      <w:r>
        <w:t xml:space="preserve"> </w:t>
      </w:r>
      <w:r>
        <w:rPr>
          <w:b/>
          <w:bCs/>
        </w:rPr>
        <w:t xml:space="preserve">Solo il livello Risorsa e il motore IaC sono legati al provider; ogni livello sopra la Risorsa e ogni pillar è astratto.</w:t>
      </w:r>
      <w:r>
        <w:t xml:space="preserve"> </w:t>
      </w:r>
      <w:r>
        <w:t xml:space="preserve">Una migrazione verso un altro provider re-implementa le</w:t>
      </w:r>
      <w:r>
        <w:t xml:space="preserve"> </w:t>
      </w:r>
      <w:r>
        <w:rPr>
          <w:i/>
          <w:iCs/>
        </w:rPr>
        <w:t xml:space="preserve">foglie</w:t>
      </w:r>
      <w:r>
        <w:t xml:space="preserve"> </w:t>
      </w:r>
      <w:r>
        <w:t xml:space="preserve">(le risorse) e sostituisce il</w:t>
      </w:r>
      <w:r>
        <w:t xml:space="preserve"> </w:t>
      </w:r>
      <w:r>
        <w:rPr>
          <w:i/>
          <w:iCs/>
        </w:rPr>
        <w:t xml:space="preserve">motore</w:t>
      </w:r>
      <w:r>
        <w:t xml:space="preserve">, mentre i livelli (Costrutto→Stack→SuperTemplate→App) e i pillar (DNS→…→Cost) si conservano invariati.</w:t>
      </w:r>
    </w:p>
    <w:p>
      <w:pPr>
        <w:pStyle w:val="BodyText"/>
      </w:pPr>
      <w:r>
        <w:t xml:space="preserve">La Tabella I rende esplicito il mapping tra i tre principali provider; la stessa griglia livelli×pillar è poi realizzata da due motori — una variante</w:t>
      </w:r>
      <w:r>
        <w:t xml:space="preserve"> </w:t>
      </w:r>
      <w:r>
        <w:rPr>
          <w:b/>
          <w:bCs/>
        </w:rPr>
        <w:t xml:space="preserve">CDK-oriented</w:t>
      </w:r>
      <w:r>
        <w:t xml:space="preserve"> </w:t>
      </w:r>
      <w:r>
        <w:t xml:space="preserve">(imperativa, il nostro riferimento) e una</w:t>
      </w:r>
      <w:r>
        <w:t xml:space="preserve"> </w:t>
      </w:r>
      <w:r>
        <w:rPr>
          <w:b/>
          <w:bCs/>
        </w:rPr>
        <w:t xml:space="preserve">Terraform-oriented</w:t>
      </w:r>
      <w:r>
        <w:t xml:space="preserve"> </w:t>
      </w:r>
      <w:r>
        <w:t xml:space="preserve">(moduli HCL dichiarativi) — dimostrando che la metodologia è anche indipendente dal</w:t>
      </w:r>
      <w:r>
        <w:t xml:space="preserve"> </w:t>
      </w:r>
      <w:r>
        <w:rPr>
          <w:i/>
          <w:iCs/>
        </w:rPr>
        <w:t xml:space="preserve">motore</w:t>
      </w:r>
      <w:r>
        <w:t xml:space="preserve">, non solo portabile tra cloud.</w:t>
      </w:r>
    </w:p>
    <w:p>
      <w:pPr>
        <w:pStyle w:val="BlockText"/>
      </w:pPr>
      <w:r>
        <w:rPr>
          <w:i/>
          <w:iCs/>
        </w:rPr>
        <w:t xml:space="preserve">[Tabella I — la tabella del prof: Risorsa base / Template / Motore IaC / Gruppo di risorse=Stack / Astrazione codice / Livello top=App per AWS·Azure·GCP]</w:t>
      </w:r>
    </w:p>
    <w:p>
      <w:pPr>
        <w:pStyle w:val="BlockText"/>
      </w:pPr>
      <w:r>
        <w:rPr>
          <w:i/>
          <w:iCs/>
        </w:rPr>
        <w:t xml:space="preserve">[Figura 1 — matrice Livelli × Pillar: righe = i 5 livelli, colonne = i 7 pillar; ogni cella mostra l’artefatto del repo (es. cella Stack×Networking = NetworkStack). Celle</w:t>
      </w:r>
      <w:r>
        <w:rPr>
          <w:i/>
          <w:iCs/>
        </w:rPr>
        <w:t xml:space="preserve"> </w:t>
      </w:r>
      <w:r>
        <w:rPr>
          <w:i/>
          <w:iCs/>
        </w:rPr>
        <w:t xml:space="preserve">“motore/risorsa”</w:t>
      </w:r>
      <w:r>
        <w:rPr>
          <w:i/>
          <w:iCs/>
        </w:rPr>
        <w:t xml:space="preserve"> </w:t>
      </w:r>
      <w:r>
        <w:rPr>
          <w:i/>
          <w:iCs/>
        </w:rPr>
        <w:t xml:space="preserve">evidenziate = provider-specific; tutto il resto = agnostico.]</w:t>
      </w:r>
    </w:p>
    <w:bookmarkEnd w:id="23"/>
    <w:bookmarkEnd w:id="24"/>
    <w:bookmarkStart w:id="30" w:name="Xbf7abc5fcb92fe9e6f8251b268860695772eee2"/>
    <w:p>
      <w:pPr>
        <w:pStyle w:val="Heading1"/>
      </w:pPr>
      <w:r>
        <w:t xml:space="preserve">§IV — Organizzazione dei moduli: dall’astrazione all’implementazione</w:t>
      </w:r>
    </w:p>
    <w:p>
      <w:pPr>
        <w:pStyle w:val="BlockText"/>
      </w:pPr>
      <w:r>
        <w:t xml:space="preserve">Bozza in italiano (da tradurre in inglese). Ancorata al codice reale di</w:t>
      </w:r>
      <w:r>
        <w:t xml:space="preserve"> </w:t>
      </w:r>
      <w:r>
        <w:rPr>
          <w:rStyle w:val="VerbatimChar"/>
        </w:rPr>
        <w:t xml:space="preserve">template-cdk</w:t>
      </w:r>
      <w:r>
        <w:t xml:space="preserve">.</w:t>
      </w:r>
      <w:r>
        <w:t xml:space="preserve"> </w:t>
      </w:r>
      <w:r>
        <w:t xml:space="preserve">Mentre §III definisce il modello a livelli in astratto, questa sezione mostra come ogni</w:t>
      </w:r>
      <w:r>
        <w:t xml:space="preserve"> </w:t>
      </w:r>
      <w:r>
        <w:t xml:space="preserve">livello si materializza nell’implementazione di riferimento CDK-oriented, e quali invarianti</w:t>
      </w:r>
      <w:r>
        <w:t xml:space="preserve"> </w:t>
      </w:r>
      <w:r>
        <w:t xml:space="preserve">di progettazione lo rendono riusabile e scalabile.</w:t>
      </w:r>
    </w:p>
    <w:p>
      <w:pPr>
        <w:pStyle w:val="FirstParagraph"/>
      </w:pPr>
      <w:r>
        <w:t xml:space="preserve">Descriviamo i quattro livelli sopra la Risorsa (Costrutto → Stack → SuperTemplate → App) nella loro realizzazione concreta. Per ciascuno enunciamo l’</w:t>
      </w:r>
      <w:r>
        <w:rPr>
          <w:i/>
          <w:iCs/>
        </w:rPr>
        <w:t xml:space="preserve">invariante di progettazione</w:t>
      </w:r>
      <w:r>
        <w:t xml:space="preserve"> </w:t>
      </w:r>
      <w:r>
        <w:t xml:space="preserve">che lo rende riusabile, e lo illustriamo con frammenti dell’implementazione.</w:t>
      </w:r>
    </w:p>
    <w:bookmarkStart w:id="25" w:name="a.-costrutto-lunità-di-riuso"/>
    <w:p>
      <w:pPr>
        <w:pStyle w:val="Heading2"/>
      </w:pPr>
      <w:r>
        <w:t xml:space="preserve">A. Costrutto — l’unità di riuso</w:t>
      </w:r>
    </w:p>
    <w:p>
      <w:pPr>
        <w:pStyle w:val="FirstParagraph"/>
      </w:pPr>
      <w:r>
        <w:t xml:space="preserve">Un Costrutto incapsula una o più risorse dietro un’interfaccia tipizzata che accetta</w:t>
      </w:r>
      <w:r>
        <w:t xml:space="preserve"> </w:t>
      </w:r>
      <w:r>
        <w:rPr>
          <w:b/>
          <w:bCs/>
        </w:rPr>
        <w:t xml:space="preserve">configurazione, non decisioni</w:t>
      </w:r>
      <w:r>
        <w:t xml:space="preserve">. L’invariante è:</w:t>
      </w:r>
      <w:r>
        <w:t xml:space="preserve"> </w:t>
      </w:r>
      <w:r>
        <w:rPr>
          <w:i/>
          <w:iCs/>
        </w:rPr>
        <w:t xml:space="preserve">un costrutto non sa in quale environment, progetto o account verrà istanziato</w:t>
      </w:r>
      <w:r>
        <w:t xml:space="preserve"> </w:t>
      </w:r>
      <w:r>
        <w:t xml:space="preserve">— riceve i parametri rilevanti via</w:t>
      </w:r>
      <w:r>
        <w:t xml:space="preserve"> </w:t>
      </w:r>
      <w:r>
        <w:rPr>
          <w:rStyle w:val="VerbatimChar"/>
        </w:rPr>
        <w:t xml:space="preserve">props</w:t>
      </w:r>
      <w:r>
        <w:t xml:space="preserve"> </w:t>
      </w:r>
      <w:r>
        <w:t xml:space="preserve">e si limita a tradurli in risorse con default sicuri.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VpcConstruct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Construct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vpc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Construct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VpcConstructProps)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Vpc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'VPC'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ipAddresses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IpAddresses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cidr</w:t>
      </w:r>
      <w:r>
        <w:rPr>
          <w:rStyle w:val="NormalTok"/>
        </w:rPr>
        <w:t xml:space="preserve">(props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cidr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maxAzs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maxAzs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natGateways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natGateways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natGateways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enableDnsHostnames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enableDnsSupport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subnet pubbliche + private-with-egress */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Tre proprietà rendono il costrutto riusabile: (i) è</w:t>
      </w:r>
      <w:r>
        <w:t xml:space="preserve"> </w:t>
      </w:r>
      <w:r>
        <w:rPr>
          <w:b/>
          <w:bCs/>
        </w:rPr>
        <w:t xml:space="preserve">parametrizzato dalla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props.config.vpc.cidr</w:t>
      </w:r>
      <w:r>
        <w:t xml:space="preserve">,</w:t>
      </w:r>
      <w:r>
        <w:t xml:space="preserve"> </w:t>
      </w:r>
      <w:r>
        <w:rPr>
          <w:rStyle w:val="VerbatimChar"/>
        </w:rPr>
        <w:t xml:space="preserve">maxAzs</w:t>
      </w:r>
      <w:r>
        <w:t xml:space="preserve">, …), mai da costanti hard-coded; (ii)</w:t>
      </w:r>
      <w:r>
        <w:t xml:space="preserve"> </w:t>
      </w:r>
      <w:r>
        <w:rPr>
          <w:b/>
          <w:bCs/>
        </w:rPr>
        <w:t xml:space="preserve">espone un handle tipizzato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 readonly vpc</w:t>
      </w:r>
      <w:r>
        <w:t xml:space="preserve">) che gli stack consumano; (iii)</w:t>
      </w:r>
      <w:r>
        <w:t xml:space="preserve"> </w:t>
      </w:r>
      <w:r>
        <w:rPr>
          <w:b/>
          <w:bCs/>
        </w:rPr>
        <w:t xml:space="preserve">non si occupa di naming né di tagging</w:t>
      </w:r>
      <w:r>
        <w:t xml:space="preserve"> </w:t>
      </w:r>
      <w:r>
        <w:t xml:space="preserve">— queste responsabilità trasversali sono delegate agli Aspect globali (§IV-C, ADR-004), così il codice del costrutto resta concentrato sulla logica di business.</w:t>
      </w:r>
    </w:p>
    <w:bookmarkEnd w:id="25"/>
    <w:bookmarkStart w:id="26" w:name="b.-stack-lunità-di-deployment"/>
    <w:p>
      <w:pPr>
        <w:pStyle w:val="Heading2"/>
      </w:pPr>
      <w:r>
        <w:t xml:space="preserve">B. Stack — l’unità di deployment</w:t>
      </w:r>
    </w:p>
    <w:p>
      <w:pPr>
        <w:pStyle w:val="FirstParagraph"/>
      </w:pPr>
      <w:r>
        <w:t xml:space="preserve">Uno Stack raggruppa costrutti coerenti in un’unità di ciclo di vita deployabile, e ne pubblica gli handle e gli output. L’invariante è la</w:t>
      </w:r>
      <w:r>
        <w:t xml:space="preserve"> </w:t>
      </w:r>
      <w:r>
        <w:rPr>
          <w:b/>
          <w:bCs/>
        </w:rPr>
        <w:t xml:space="preserve">direzione esplicita delle dipendenze</w:t>
      </w:r>
      <w:r>
        <w:t xml:space="preserve">: ciò che attraversa il confine di uno stack lo fa per riferimento dichiarato, mai per accoppiamento implicito.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NetworkStack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Stack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vpcConstruct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VpcConstruct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elasticIp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CfnEIP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Construct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NetworkStackProps)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(scope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vpcConstruct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VpcConstruct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'VPCConstruct'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securityGroupsConstruct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SecurityGroupsConstruct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'SGConstruct'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vpcConstruct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elasticIp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CfnEIP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'ElasticIP'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'vpc'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CfnOutput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'VpcId'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vpcConstruct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vpcId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exportName …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Quando un dato deve passare</w:t>
      </w:r>
      <w:r>
        <w:t xml:space="preserve"> </w:t>
      </w:r>
      <w:r>
        <w:rPr>
          <w:i/>
          <w:iCs/>
        </w:rPr>
        <w:t xml:space="preserve">tra</w:t>
      </w:r>
      <w:r>
        <w:t xml:space="preserve"> </w:t>
      </w:r>
      <w:r>
        <w:t xml:space="preserve">stack, la metodologia impone di passarlo come</w:t>
      </w:r>
      <w:r>
        <w:t xml:space="preserve"> </w:t>
      </w:r>
      <w:r>
        <w:rPr>
          <w:b/>
          <w:bCs/>
        </w:rPr>
        <w:t xml:space="preserve">stringa</w:t>
      </w:r>
      <w:r>
        <w:t xml:space="preserve"> </w:t>
      </w:r>
      <w:r>
        <w:t xml:space="preserve">(ID, ARN, allocation-ID), non come oggetto CDK (ADR-005). Un oggetto trascina con sé i metodi che modificano la risorsa originaria, creando dipendenze inverse nascoste e, infine, riferimenti ciclici che bloccano la sintesi. Passare stringhe disaccoppia gli stack — il consumatore non si rompe se cambia il tipo concreto nel donatore — e li rende testabili in isolamento con valori finti. Questa è una delle decisioni in cui la metodologia previene</w:t>
      </w:r>
      <w:r>
        <w:t xml:space="preserve"> </w:t>
      </w:r>
      <w:r>
        <w:rPr>
          <w:i/>
          <w:iCs/>
        </w:rPr>
        <w:t xml:space="preserve">per costruzione</w:t>
      </w:r>
      <w:r>
        <w:t xml:space="preserve"> </w:t>
      </w:r>
      <w:r>
        <w:t xml:space="preserve">un’intera classe di errori (cfr. VA1, §II).</w:t>
      </w:r>
    </w:p>
    <w:bookmarkEnd w:id="26"/>
    <w:bookmarkStart w:id="27" w:name="X09f4a4b5dfcce0f98985c90aa928c3a3a934e5d"/>
    <w:p>
      <w:pPr>
        <w:pStyle w:val="Heading2"/>
      </w:pPr>
      <w:r>
        <w:t xml:space="preserve">C. SuperTemplate — l’unità di standardizzazione</w:t>
      </w:r>
    </w:p>
    <w:p>
      <w:pPr>
        <w:pStyle w:val="FirstParagraph"/>
      </w:pPr>
      <w:r>
        <w:t xml:space="preserve">Il SuperTemplate è l’intero template riusabile (configurazione + costrutti + stack + policy trasversali), il cui motore di composizione è la classe</w:t>
      </w:r>
      <w:r>
        <w:t xml:space="preserve"> </w:t>
      </w:r>
      <w:r>
        <w:rPr>
          <w:rStyle w:val="VerbatimChar"/>
        </w:rPr>
        <w:t xml:space="preserve">InfrastructureApp</w:t>
      </w:r>
      <w:r>
        <w:t xml:space="preserve">. Concentra in un</w:t>
      </w:r>
      <w:r>
        <w:t xml:space="preserve"> </w:t>
      </w:r>
      <w:r>
        <w:rPr>
          <w:i/>
          <w:iCs/>
        </w:rPr>
        <w:t xml:space="preserve">unico punto</w:t>
      </w:r>
      <w:r>
        <w:t xml:space="preserve"> </w:t>
      </w:r>
      <w:r>
        <w:t xml:space="preserve">tutta la logica di</w:t>
      </w:r>
      <w:r>
        <w:t xml:space="preserve"> </w:t>
      </w:r>
      <w:r>
        <w:t xml:space="preserve">“quale stack si crea, quando, e da cosa dipende”</w:t>
      </w:r>
      <w:r>
        <w:t xml:space="preserve"> </w:t>
      </w:r>
      <w:r>
        <w:t xml:space="preserve">(ADR-001). Il costruttore esegue tre fasi in ordine fisso: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InfrastructureApp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cdk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ProjectConfig)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assertConfigValid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valida la config, abortisce se invalida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applyGlobalAspects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2. applica Tagging + Naming a tutto il tree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3. istanzia gli stack con feature flag e dipendenze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Tre meccanismi del SuperTemplate realizzano la</w:t>
      </w:r>
      <w:r>
        <w:t xml:space="preserve"> </w:t>
      </w:r>
      <w:r>
        <w:rPr>
          <w:i/>
          <w:iCs/>
        </w:rPr>
        <w:t xml:space="preserve">standardizzazione</w:t>
      </w:r>
      <w:r>
        <w:t xml:space="preserve">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Policy trasversali come Aspect globali</w:t>
      </w:r>
      <w:r>
        <w:t xml:space="preserve"> </w:t>
      </w:r>
      <w:r>
        <w:t xml:space="preserve">(ADR-004, ADR-006). Naming e tagging sono applicati una sola volta a tutto l’albero delle risorse, con priority</w:t>
      </w:r>
      <w:r>
        <w:t xml:space="preserve"> </w:t>
      </w:r>
      <w:r>
        <w:rPr>
          <w:rStyle w:val="VerbatimChar"/>
        </w:rPr>
        <w:t xml:space="preserve">MUTATING</w:t>
      </w:r>
      <w:r>
        <w:t xml:space="preserve"> </w:t>
      </w:r>
      <w:r>
        <w:t xml:space="preserve">esplicita. È impossibile dimenticare un tag o un nome, perché nessuno li scrive risorsa per risorsa; cambiare la convenzione aziendale significa modificare un solo file.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Composizione condizionale via feature flag</w:t>
      </w:r>
      <w:r>
        <w:t xml:space="preserve"> </w:t>
      </w:r>
      <w:r>
        <w:t xml:space="preserve">(ADR-002). Gli stack opzionali (monitoring, backup, dns, scheduler, cost-optimization) sono attivati da</w:t>
      </w:r>
      <w:r>
        <w:t xml:space="preserve"> </w:t>
      </w:r>
      <w:r>
        <w:rPr>
          <w:rStyle w:val="VerbatimChar"/>
        </w:rPr>
        <w:t xml:space="preserve">if (config.features.X?.enabled)</w:t>
      </w:r>
      <w:r>
        <w:t xml:space="preserve"> </w:t>
      </w:r>
      <w:r>
        <w:t xml:space="preserve">dentro</w:t>
      </w:r>
      <w:r>
        <w:t xml:space="preserve"> </w:t>
      </w:r>
      <w:r>
        <w:rPr>
          <w:rStyle w:val="VerbatimChar"/>
        </w:rPr>
        <w:t xml:space="preserve">compose()</w:t>
      </w:r>
      <w:r>
        <w:t xml:space="preserve">. Gli stack non sanno di essere</w:t>
      </w:r>
      <w:r>
        <w:t xml:space="preserve"> </w:t>
      </w:r>
      <w:r>
        <w:t xml:space="preserve">“feature-flagged”</w:t>
      </w:r>
      <w:r>
        <w:t xml:space="preserve">: ricevono le props e si istanziano normalmente. Le feature sono</w:t>
      </w:r>
      <w:r>
        <w:t xml:space="preserve"> </w:t>
      </w:r>
      <w:r>
        <w:rPr>
          <w:i/>
          <w:iCs/>
        </w:rPr>
        <w:t xml:space="preserve">fail-closed</w:t>
      </w:r>
      <w:r>
        <w:t xml:space="preserve"> </w:t>
      </w:r>
      <w:r>
        <w:t xml:space="preserve">— assente in config significa disattivata — e le dipendenze tra stack sono sempre esplicite via</w:t>
      </w:r>
      <w:r>
        <w:t xml:space="preserve"> </w:t>
      </w:r>
      <w:r>
        <w:rPr>
          <w:rStyle w:val="VerbatimChar"/>
        </w:rPr>
        <w:t xml:space="preserve">addDependency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NetworkStack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stackName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'NetworkStack'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ComputeStack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stackName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'ComputeStack'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vpcConstruct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elasticIpAllocationId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elasticIp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attrAllocationId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compute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addDependency</w:t>
      </w:r>
      <w:r>
        <w:rPr>
          <w:rStyle w:val="NormalTok"/>
        </w:rPr>
        <w:t xml:space="preserve">(network)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monitoring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enabled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MonitoringStack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backup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enabled</w:t>
      </w:r>
      <w:r>
        <w:rPr>
          <w:rStyle w:val="NormalTok"/>
        </w:rPr>
        <w:t xml:space="preserve">)     { </w:t>
      </w:r>
      <w:r>
        <w:rPr>
          <w:rStyle w:val="CommentTok"/>
        </w:rPr>
        <w:t xml:space="preserve">/* BackupStack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… dns, scheduler, cost-optimization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 configurazione come contratto</w:t>
      </w:r>
      <w:r>
        <w:t xml:space="preserve"> </w:t>
      </w:r>
      <w:r>
        <w:t xml:space="preserve">(ADR-002). Le feature attivabili sono dichiarate in</w:t>
      </w:r>
      <w:r>
        <w:t xml:space="preserve"> </w:t>
      </w:r>
      <w:r>
        <w:rPr>
          <w:rStyle w:val="VerbatimChar"/>
        </w:rPr>
        <w:t xml:space="preserve">interfaces.ts</w:t>
      </w:r>
      <w:r>
        <w:t xml:space="preserve">; il compilatore TypeScript segnala se un environment dimentica di dichiarare un campo previsto. Lo stato di ogni environment si legge guardando il repo, non variabili d’ambiente sparse.</w:t>
      </w:r>
    </w:p>
    <w:bookmarkEnd w:id="27"/>
    <w:bookmarkStart w:id="28" w:name="d.-app-lunità-di-delivery"/>
    <w:p>
      <w:pPr>
        <w:pStyle w:val="Heading2"/>
      </w:pPr>
      <w:r>
        <w:t xml:space="preserve">D. App — l’unità di delivery</w:t>
      </w:r>
    </w:p>
    <w:p>
      <w:pPr>
        <w:pStyle w:val="FirstParagraph"/>
      </w:pPr>
      <w:r>
        <w:t xml:space="preserve">L’App è l’istanza concreta del SuperTemplate per una tupla ⟨progetto, environment, account, region⟩. L’entry point resta deliberatamente minimale: carica la config dell’environment richiesto e istanzia il SuperTemplate.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ENVIRONMENT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loadConfig</w:t>
      </w:r>
      <w:r>
        <w:rPr>
          <w:rStyle w:val="NormalTok"/>
        </w:rPr>
        <w:t xml:space="preserve">(environment)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import() dinamico per env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cdk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InfrastructureApp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printSummary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La variazione tra App vive</w:t>
      </w:r>
      <w:r>
        <w:t xml:space="preserve"> </w:t>
      </w:r>
      <w:r>
        <w:rPr>
          <w:i/>
          <w:iCs/>
        </w:rPr>
        <w:t xml:space="preserve">interamente</w:t>
      </w:r>
      <w:r>
        <w:t xml:space="preserve"> </w:t>
      </w:r>
      <w:r>
        <w:t xml:space="preserve">nei file</w:t>
      </w:r>
      <w:r>
        <w:t xml:space="preserve"> </w:t>
      </w:r>
      <w:r>
        <w:rPr>
          <w:rStyle w:val="VerbatimChar"/>
        </w:rPr>
        <w:t xml:space="preserve">config/environments/{dev,staging,prod}.ts</w:t>
      </w:r>
      <w:r>
        <w:t xml:space="preserve">, ciascuno dei quali estende una</w:t>
      </w:r>
      <w:r>
        <w:t xml:space="preserve"> </w:t>
      </w:r>
      <w:r>
        <w:rPr>
          <w:rStyle w:val="VerbatimChar"/>
        </w:rPr>
        <w:t xml:space="preserve">commonConfig</w:t>
      </w:r>
      <w:r>
        <w:t xml:space="preserve"> </w:t>
      </w:r>
      <w:r>
        <w:t xml:space="preserve">e ne sovrascrive solo ciò che differisce: dimensioni delle istanze, CIDR, retention, feature attive. Esempio (estratto da</w:t>
      </w:r>
      <w:r>
        <w:t xml:space="preserve"> </w:t>
      </w:r>
      <w:r>
        <w:rPr>
          <w:rStyle w:val="VerbatimChar"/>
        </w:rPr>
        <w:t xml:space="preserve">dev.ts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devConfig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commonConfig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cidr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'10.0.0.0/22'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maxAzs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natGateways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web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instanceType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't3.medium'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allowedSshCidrs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SSH chiuso: accesso via SSM (ADR-003)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monitoring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logRetention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alarms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backup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dns, …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Il caricamento è</w:t>
      </w:r>
      <w:r>
        <w:t xml:space="preserve"> </w:t>
      </w:r>
      <w:r>
        <w:rPr>
          <w:b/>
          <w:bCs/>
        </w:rPr>
        <w:t xml:space="preserve">lazy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loadConfig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import()</w:t>
      </w:r>
      <w:r>
        <w:t xml:space="preserve"> </w:t>
      </w:r>
      <w:r>
        <w:t xml:space="preserve">dinamico per non valutare in memoria le config degli environment che non sono target del deploy corrente. Aggiungere un environment è un’operazione a tre passi puramente dichiarativa (account in</w:t>
      </w:r>
      <w:r>
        <w:t xml:space="preserve"> </w:t>
      </w:r>
      <w:r>
        <w:rPr>
          <w:rStyle w:val="VerbatimChar"/>
        </w:rPr>
        <w:t xml:space="preserve">accounts.ts</w:t>
      </w:r>
      <w:r>
        <w:t xml:space="preserve">, file</w:t>
      </w:r>
      <w:r>
        <w:t xml:space="preserve"> </w:t>
      </w:r>
      <w:r>
        <w:rPr>
          <w:rStyle w:val="VerbatimChar"/>
        </w:rPr>
        <w:t xml:space="preserve">environments/&lt;nome&gt;.ts</w:t>
      </w:r>
      <w:r>
        <w:t xml:space="preserve">, case in</w:t>
      </w:r>
      <w:r>
        <w:t xml:space="preserve"> </w:t>
      </w:r>
      <w:r>
        <w:rPr>
          <w:rStyle w:val="VerbatimChar"/>
        </w:rPr>
        <w:t xml:space="preserve">loadConfig</w:t>
      </w:r>
      <w:r>
        <w:t xml:space="preserve">) e</w:t>
      </w:r>
      <w:r>
        <w:t xml:space="preserve"> </w:t>
      </w:r>
      <w:r>
        <w:rPr>
          <w:i/>
          <w:iCs/>
        </w:rPr>
        <w:t xml:space="preserve">nessuna modifica al codice di costrutti o stack</w:t>
      </w:r>
      <w:r>
        <w:t xml:space="preserve">.</w:t>
      </w:r>
    </w:p>
    <w:bookmarkEnd w:id="28"/>
    <w:bookmarkStart w:id="29" w:name="e.-perché-questa-organizzazione-scala"/>
    <w:p>
      <w:pPr>
        <w:pStyle w:val="Heading2"/>
      </w:pPr>
      <w:r>
        <w:t xml:space="preserve">E. Perché questa organizzazione scala</w:t>
      </w:r>
    </w:p>
    <w:p>
      <w:pPr>
        <w:pStyle w:val="FirstParagraph"/>
      </w:pPr>
      <w:r>
        <w:t xml:space="preserve">L’organizzazione realizza la tesi di §III —</w:t>
      </w:r>
      <w:r>
        <w:t xml:space="preserve"> </w:t>
      </w:r>
      <w:r>
        <w:rPr>
          <w:i/>
          <w:iCs/>
        </w:rPr>
        <w:t xml:space="preserve">standardizzazione al SuperTemplate, variazione solo in configurazione</w:t>
      </w:r>
      <w:r>
        <w:t xml:space="preserve">. Le conseguenze sulla scalabilità, dimensione centrale per la conferenza, sono tre: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scala in numero di stack</w:t>
      </w:r>
      <w:r>
        <w:t xml:space="preserve">: aggiungere uno stack tocca un solo punto (</w:t>
      </w:r>
      <w:r>
        <w:rPr>
          <w:rStyle w:val="VerbatimChar"/>
        </w:rPr>
        <w:t xml:space="preserve">compose()</w:t>
      </w:r>
      <w:r>
        <w:t xml:space="preserve">), non lo script di ingresso né gli altri stack;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scala in numero di environment/account</w:t>
      </w:r>
      <w:r>
        <w:t xml:space="preserve">: ogni nuova App è un file di config, a codice invariato — zero divergenza, zero fork;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scala in numero di progetti</w:t>
      </w:r>
      <w:r>
        <w:t xml:space="preserve">: il SuperTemplate si clona e si riconfigura; le policy aziendali (naming, tagging, sicurezza di default) viaggiano col template e si aggiornano in un punto solo.</w:t>
      </w:r>
    </w:p>
    <w:p>
      <w:pPr>
        <w:pStyle w:val="BlockText"/>
      </w:pPr>
      <w:r>
        <w:rPr>
          <w:i/>
          <w:iCs/>
        </w:rPr>
        <w:t xml:space="preserve">[Eventuale Figura 2 — diagramma di composizione: bin/app.ts → InfrastructureApp → (NetworkStack → ComputeStack → StorageStack) + stack condizionali, con le frecce di dipendenza e gli Aspect applicati globalmente.]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Towards a template-based methodology for IaaC — bozze (IT)</dc:title>
  <dc:creator/>
  <cp:keywords/>
  <dcterms:created xsi:type="dcterms:W3CDTF">2026-06-08T06:21:13Z</dcterms:created>
  <dcterms:modified xsi:type="dcterms:W3CDTF">2026-06-08T06:21:13Z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