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Calibri" w:hAnsi="Calibri"/>
          <w:b/>
          <w:i w:val="0"/>
          <w:color w:val="1F497D"/>
          <w:sz w:val="30"/>
        </w:rPr>
        <w:t>Early Diabetes Prediction Using Machine Learning:</w:t>
        <w:br/>
        <w:t>A Medical Decision Support System</w:t>
      </w:r>
    </w:p>
    <w:p>
      <w:pPr>
        <w:spacing w:after="40"/>
        <w:jc w:val="center"/>
      </w:pPr>
      <w:r>
        <w:rPr>
          <w:rFonts w:ascii="Calibri" w:hAnsi="Calibri"/>
          <w:b w:val="0"/>
          <w:i w:val="0"/>
          <w:color w:val="595959"/>
          <w:sz w:val="20"/>
        </w:rPr>
        <w:t>Jamshaid Amjad  |  M7016H — Artificiell intelligens inom sjukvården  |  May 2026</w:t>
      </w:r>
    </w:p>
    <w:p>
      <w:pPr>
        <w:spacing w:before="40" w:after="40"/>
        <w:pBdr>
          <w:bottom w:val="single" w:sz="6" w:space="1" w:color="1F497D"/>
        </w:pBdr>
      </w:pPr>
    </w:p>
    <w:p>
      <w:pPr>
        <w:spacing w:before="120" w:after="60"/>
      </w:pPr>
      <w:r>
        <w:rPr>
          <w:rFonts w:ascii="Calibri" w:hAnsi="Calibri"/>
          <w:b/>
          <w:i w:val="0"/>
          <w:color w:val="1F497D"/>
          <w:sz w:val="22"/>
        </w:rPr>
        <w:t>Abstract</w:t>
      </w:r>
    </w:p>
    <w:p>
      <w:pPr>
        <w:spacing w:after="100" w:before="0"/>
        <w:jc w:val="both"/>
      </w:pPr>
      <w:r>
        <w:rPr>
          <w:rFonts w:ascii="Calibri" w:hAnsi="Calibri"/>
          <w:b w:val="0"/>
          <w:i w:val="0"/>
          <w:sz w:val="21"/>
        </w:rPr>
        <w:t>Diabetes mellitus affects over 537 million adults worldwide and is projected to reach 783 million by 2045, imposing a severe burden on healthcare systems globally (IDF, 2021). Early identification of at-risk individuals through automated screening tools can enable timely intervention and substantially reduce long-term complications. This study develops and benchmarks three machine learning classifiers — Logistic Regression (LR), Random Forest (RF), and a Multilayer Perceptron (MLP) — for binary diabetes prediction using the Pima Indians Diabetes Dataset (n = 768). A principled pipeline encompassing zero-value imputation, stratified splitting, feature selection, and SMOTE oversampling is applied. The MLP achieves the highest AUROC (0.875) and sensitivity (0.659), while LR delivers the best F1 score (0.683) and specificity (0.827). All models substantially outperform a majority-class baseline (AUROC = 0.500).</w:t>
      </w:r>
    </w:p>
    <w:p>
      <w:pPr>
        <w:spacing w:before="40" w:after="40"/>
        <w:pBdr>
          <w:bottom w:val="single" w:sz="6" w:space="1" w:color="1F497D"/>
        </w:pBdr>
      </w:pPr>
    </w:p>
    <w:p>
      <w:pPr>
        <w:spacing w:before="200" w:after="60"/>
      </w:pPr>
      <w:r>
        <w:rPr>
          <w:rFonts w:ascii="Calibri" w:hAnsi="Calibri"/>
          <w:b/>
          <w:i w:val="0"/>
          <w:color w:val="1F497D"/>
          <w:sz w:val="24"/>
        </w:rPr>
        <w:t>1. Introduction</w:t>
      </w:r>
    </w:p>
    <w:p>
      <w:pPr>
        <w:spacing w:after="100" w:before="0"/>
        <w:jc w:val="both"/>
      </w:pPr>
      <w:r>
        <w:rPr>
          <w:rFonts w:ascii="Calibri" w:hAnsi="Calibri"/>
          <w:b w:val="0"/>
          <w:i w:val="0"/>
          <w:sz w:val="21"/>
        </w:rPr>
        <w:t>Diabetes mellitus is a chronic metabolic disorder characterised by persistent hyperglycaemia arising from impaired insulin secretion, insulin resistance, or both. The International Diabetes Federation estimates 537 million adults are currently living with diabetes, with Type 2 diabetes (T2DM) accounting for over 90% of cases (IDF, 2021). T2DM progresses insidiously and is frequently diagnosed only after irreversible microvascular and macrovascular damage has occurred — including nephropathy, retinopathy, neuropathy, and cardiovascular disease (Roglic, 2016). The economic cost of diabetes reached USD 966 billion in 2021, with projections exceeding USD 1 trillion by 2045 (IDF, 2021).</w:t>
      </w:r>
    </w:p>
    <w:p>
      <w:pPr>
        <w:spacing w:after="100" w:before="0"/>
        <w:jc w:val="both"/>
      </w:pPr>
      <w:r>
        <w:rPr>
          <w:rFonts w:ascii="Calibri" w:hAnsi="Calibri"/>
          <w:b w:val="0"/>
          <w:i w:val="0"/>
          <w:sz w:val="21"/>
        </w:rPr>
        <w:t>Screening programmes that can identify high-risk individuals from routinely collected clinical measurements offer a cost-effective complement to gold-standard confirmatory tests such as fasting plasma glucose or HbA1c assays. Machine learning (ML) models trained on tabular clinical data — including glucose, body-mass index (BMI), and family history — have demonstrated strong discriminative performance in this domain (Kavakiotis et al., 2017; Sisodia &amp; Sisodia, 2018). A model with high sensitivity is particularly valuable in a screening context, where the cost of a missed diagnosis (false negative) substantially exceeds the cost of an unnecessary referral (false positive).</w:t>
      </w:r>
    </w:p>
    <w:p>
      <w:pPr>
        <w:spacing w:after="100" w:before="0"/>
        <w:jc w:val="both"/>
      </w:pPr>
      <w:r>
        <w:rPr>
          <w:rFonts w:ascii="Calibri" w:hAnsi="Calibri"/>
          <w:b w:val="0"/>
          <w:i w:val="0"/>
          <w:sz w:val="21"/>
        </w:rPr>
        <w:t>This project addresses binary classification: predicting whether a patient is diabetic based on eight tabular clinical features. Three model families are compared to balance interpretability (LR), ensemble predictive power (RF), and representation learning (MLP). The study is conducted on the widely benchmarked Pima Indians Diabetes Dataset (Smith et al., 1988), enabling direct comparison with prior literature.</w:t>
      </w:r>
    </w:p>
    <w:p>
      <w:pPr>
        <w:spacing w:before="200" w:after="60"/>
      </w:pPr>
      <w:r>
        <w:rPr>
          <w:rFonts w:ascii="Calibri" w:hAnsi="Calibri"/>
          <w:b/>
          <w:i w:val="0"/>
          <w:color w:val="1F497D"/>
          <w:sz w:val="24"/>
        </w:rPr>
        <w:t>2. Methods</w:t>
      </w:r>
    </w:p>
    <w:p>
      <w:pPr>
        <w:spacing w:before="120" w:after="40"/>
      </w:pPr>
      <w:r>
        <w:rPr>
          <w:rFonts w:ascii="Calibri" w:hAnsi="Calibri"/>
          <w:b/>
          <w:i w:val="0"/>
          <w:color w:val="000000"/>
          <w:sz w:val="22"/>
        </w:rPr>
        <w:t>2.1  Dataset &amp; Data Splits</w:t>
      </w:r>
    </w:p>
    <w:p>
      <w:pPr>
        <w:spacing w:after="100" w:before="0"/>
        <w:jc w:val="both"/>
      </w:pPr>
      <w:r>
        <w:rPr>
          <w:rFonts w:ascii="Calibri" w:hAnsi="Calibri"/>
          <w:b w:val="0"/>
          <w:i w:val="0"/>
          <w:sz w:val="21"/>
        </w:rPr>
        <w:t>The Pima Indians Diabetes Dataset (National Institute of Diabetes and Digestive and Kidney Diseases; Smith et al., 1988) contains 768 observations of Pima Native American women aged ≥ 21 years. Eight clinical predictors are available: number of pregnancies, plasma glucose concentration (2-hour OGTT), diastolic blood pressure, triceps skin-fold thickness, 2-hour serum insulin, BMI, diabetes pedigree function, and age. The binary outcome (1 = diabetic, 0 = non-diabetic) is imbalanced, with 268 positive cases (34.9%). A stratified 70/15/15 split was applied (train n = 537; validation n = 116; test n = 115), preserving the class ratio across all partitions. A held-out test set was reserved exclusively for final evaluation; the validation set was used only during MLP training for early stopping.</w:t>
      </w:r>
    </w:p>
    <w:p>
      <w:pPr>
        <w:spacing w:before="120" w:after="40"/>
      </w:pPr>
      <w:r>
        <w:rPr>
          <w:rFonts w:ascii="Calibri" w:hAnsi="Calibri"/>
          <w:b/>
          <w:i w:val="0"/>
          <w:color w:val="000000"/>
          <w:sz w:val="22"/>
        </w:rPr>
        <w:t>2.2  Preprocessing</w:t>
      </w:r>
    </w:p>
    <w:p>
      <w:pPr>
        <w:spacing w:after="100" w:before="0"/>
        <w:jc w:val="both"/>
      </w:pPr>
      <w:r>
        <w:rPr>
          <w:rFonts w:ascii="Calibri" w:hAnsi="Calibri"/>
          <w:b w:val="0"/>
          <w:i w:val="0"/>
          <w:sz w:val="21"/>
        </w:rPr>
        <w:t>Five features contain biologically implausible zero values (Glucose, BMI, Insulin, BloodPressure, SkinThickness), which were replaced with NaN prior to splitting. All preprocessing transformers were fitted exclusively on training data to prevent data leakage. Missing values were imputed with the per-feature training-set median (scikit-learn SimpleImputer). Features were standardised using StandardScaler (zero mean, unit variance). Class imbalance in the training set was addressed using SMOTE (Chawla et al., 2002), which generates synthetic minority-class samples by interpolation in feature space, yielding a balanced training set without discarding majority-class examples.</w:t>
      </w:r>
    </w:p>
    <w:p>
      <w:pPr>
        <w:spacing w:before="120" w:after="40"/>
      </w:pPr>
      <w:r>
        <w:rPr>
          <w:rFonts w:ascii="Calibri" w:hAnsi="Calibri"/>
          <w:b/>
          <w:i w:val="0"/>
          <w:color w:val="000000"/>
          <w:sz w:val="22"/>
        </w:rPr>
        <w:t>2.3  Feature Selection</w:t>
      </w:r>
    </w:p>
    <w:p>
      <w:pPr>
        <w:spacing w:after="100" w:before="0"/>
        <w:jc w:val="both"/>
      </w:pPr>
      <w:r>
        <w:rPr>
          <w:rFonts w:ascii="Calibri" w:hAnsi="Calibri"/>
          <w:b w:val="0"/>
          <w:i w:val="0"/>
          <w:sz w:val="21"/>
        </w:rPr>
        <w:t>Top-5 features were selected by averaging the ranks from two complementary criteria: (i) ANOVA F-test score (</w:t>
      </w:r>
      <w:r>
        <w:rPr>
          <w:rFonts w:ascii="Calibri" w:hAnsi="Calibri"/>
          <w:b w:val="0"/>
          <w:i/>
          <w:sz w:val="21"/>
        </w:rPr>
        <w:t>SelectKBest</w:t>
      </w:r>
      <w:r>
        <w:rPr>
          <w:rFonts w:ascii="Calibri" w:hAnsi="Calibri"/>
          <w:b w:val="0"/>
          <w:i w:val="0"/>
          <w:sz w:val="21"/>
        </w:rPr>
        <w:t xml:space="preserve">) and (ii) Random Forest impurity-based feature importance trained on the imputed, scaled training set. Averaging ranks from a filter and an embedded method reduces the risk of selecting features that score well on one criterion by chance. The five selected features were: </w:t>
      </w:r>
      <w:r>
        <w:rPr>
          <w:rFonts w:ascii="Calibri" w:hAnsi="Calibri"/>
          <w:b/>
          <w:i w:val="0"/>
          <w:sz w:val="21"/>
        </w:rPr>
        <w:t>Glucose, BMI, Insulin, Age, Pregnancies</w:t>
      </w:r>
      <w:r>
        <w:rPr>
          <w:rFonts w:ascii="Calibri" w:hAnsi="Calibri"/>
          <w:b w:val="0"/>
          <w:i w:val="0"/>
          <w:sz w:val="21"/>
        </w:rPr>
        <w:t>.</w:t>
      </w:r>
    </w:p>
    <w:p>
      <w:pPr>
        <w:spacing w:before="120" w:after="40"/>
      </w:pPr>
      <w:r>
        <w:rPr>
          <w:rFonts w:ascii="Calibri" w:hAnsi="Calibri"/>
          <w:b/>
          <w:i w:val="0"/>
          <w:color w:val="000000"/>
          <w:sz w:val="22"/>
        </w:rPr>
        <w:t>2.4  Models &amp; Hyperparameter Optimisation</w:t>
      </w:r>
    </w:p>
    <w:p>
      <w:pPr>
        <w:spacing w:after="100" w:before="0"/>
        <w:jc w:val="both"/>
      </w:pPr>
      <w:r>
        <w:rPr>
          <w:rFonts w:ascii="Calibri" w:hAnsi="Calibri"/>
          <w:b w:val="0"/>
          <w:i w:val="0"/>
          <w:sz w:val="21"/>
        </w:rPr>
        <w:t>Three models were trained and compared. (1) Logistic Regression (L-BFGS solver, max_iter = 1000, default L2 regularisation) served as a linear, interpretable baseline. (2) Random Forest: an ensemble of decision trees was optimised via 5-fold GridSearchCV on the training set, searching over n_estimators ∈ {100, 200, 300}, max_depth ∈ {None, 5, 10, 15}, min_samples_split ∈ {2, 5, 10}, and min_samples_leaf ∈ {1, 2, 4}. Best parameters: n_estimators = 100, max_depth = 10, min_samples_split = 2, min_samples_leaf = 1. (3) MLP: a feed-forward network with two hidden layers (Dense-16 → ReLU → Dropout-0.2 → Dense-8 → ReLU → Dense-1 → Sigmoid) trained with the Adam optimiser (lr = 1×10⁻³), binary cross-entropy loss, a ReduceLROnPlateau scheduler (factor = 0.5, patience = 5), and early stopping (patience = 10) on validation loss.</w:t>
      </w:r>
    </w:p>
    <w:p>
      <w:pPr>
        <w:spacing w:before="120" w:after="40"/>
      </w:pPr>
      <w:r>
        <w:rPr>
          <w:rFonts w:ascii="Calibri" w:hAnsi="Calibri"/>
          <w:b/>
          <w:i w:val="0"/>
          <w:color w:val="000000"/>
          <w:sz w:val="22"/>
        </w:rPr>
        <w:t>2.5  Performance Metrics</w:t>
      </w:r>
    </w:p>
    <w:p>
      <w:pPr>
        <w:spacing w:after="100" w:before="0"/>
        <w:jc w:val="both"/>
      </w:pPr>
      <w:r>
        <w:rPr>
          <w:rFonts w:ascii="Calibri" w:hAnsi="Calibri"/>
          <w:b w:val="0"/>
          <w:i w:val="0"/>
          <w:sz w:val="21"/>
        </w:rPr>
        <w:t>Models were evaluated on the held-out test set (n = 115) using: sensitivity (recall = TP / (TP + FN)), specificity (TN / (TN + FP)), precision (TP / (TP + FP)), F1 score (harmonic mean of precision and sensitivity), AUROC, and accuracy. In a clinical screening context, sensitivity is the primary metric of interest because false negatives (missed diabetic cases) carry greater clinical cost than false positives. AUROC is reported as a threshold-independent summary of discriminative ability. Five-fold cross-validation F1 on the combined train+validation set is additionally reported for LR and RF to assess stability across data splits.</w:t>
      </w:r>
    </w:p>
    <w:p>
      <w:pPr>
        <w:spacing w:before="200" w:after="60"/>
      </w:pPr>
      <w:r>
        <w:rPr>
          <w:rFonts w:ascii="Calibri" w:hAnsi="Calibri"/>
          <w:b/>
          <w:i w:val="0"/>
          <w:color w:val="1F497D"/>
          <w:sz w:val="24"/>
        </w:rPr>
        <w:t>3. Results</w:t>
      </w:r>
    </w:p>
    <w:p>
      <w:pPr>
        <w:spacing w:after="100" w:before="0"/>
        <w:jc w:val="both"/>
      </w:pPr>
      <w:r>
        <w:rPr>
          <w:rFonts w:ascii="Calibri" w:hAnsi="Calibri"/>
          <w:b w:val="0"/>
          <w:i w:val="0"/>
          <w:sz w:val="21"/>
        </w:rPr>
        <w:t>Table 1 reports test-set performance for all three models. The MLP achieves the highest AUROC (0.875) and the best balance of sensitivity (0.659) and specificity (0.827), suggesting strong probabilistic discrimination. LR attains the best F1 (0.683) and accuracy (0.776), and matches the MLP's specificity. RF achieves the highest precision (0.694) and specificity (0.853) — i.e. fewest false positives — but at the cost of lower sensitivity (0.610). All three models substantially outperform a majority-class baseline (AUROC = 0.500, sensitivity = 0.000). Table 2 reports 5-fold cross-validation F1 on the train+validation set; RF (0.801 ± 0.042) outperforms LR (0.718 ± 0.029), confirming robust generalisation across folds.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F497D"/>
          </w:tcPr>
          <w:p>
            <w:pPr>
              <w:jc w:val="center"/>
            </w:pPr>
            <w:r>
              <w:rPr>
                <w:rFonts w:ascii="Calibri" w:hAnsi="Calibri"/>
                <w:b/>
                <w:i w:val="0"/>
                <w:color w:val="FFFFFF"/>
                <w:sz w:val="19"/>
              </w:rPr>
              <w:t>Model</w:t>
            </w:r>
          </w:p>
        </w:tc>
        <w:tc>
          <w:tcPr>
            <w:tcW w:type="dxa" w:w="1337"/>
            <w:shd w:val="clear" w:color="auto" w:fill="1F497D"/>
          </w:tcPr>
          <w:p>
            <w:pPr>
              <w:jc w:val="center"/>
            </w:pPr>
            <w:r>
              <w:rPr>
                <w:rFonts w:ascii="Calibri" w:hAnsi="Calibri"/>
                <w:b/>
                <w:i w:val="0"/>
                <w:color w:val="FFFFFF"/>
                <w:sz w:val="19"/>
              </w:rPr>
              <w:t>Sensitivity</w:t>
            </w:r>
          </w:p>
        </w:tc>
        <w:tc>
          <w:tcPr>
            <w:tcW w:type="dxa" w:w="1337"/>
            <w:shd w:val="clear" w:color="auto" w:fill="1F497D"/>
          </w:tcPr>
          <w:p>
            <w:pPr>
              <w:jc w:val="center"/>
            </w:pPr>
            <w:r>
              <w:rPr>
                <w:rFonts w:ascii="Calibri" w:hAnsi="Calibri"/>
                <w:b/>
                <w:i w:val="0"/>
                <w:color w:val="FFFFFF"/>
                <w:sz w:val="19"/>
              </w:rPr>
              <w:t>Specificity</w:t>
            </w:r>
          </w:p>
        </w:tc>
        <w:tc>
          <w:tcPr>
            <w:tcW w:type="dxa" w:w="1337"/>
            <w:shd w:val="clear" w:color="auto" w:fill="1F497D"/>
          </w:tcPr>
          <w:p>
            <w:pPr>
              <w:jc w:val="center"/>
            </w:pPr>
            <w:r>
              <w:rPr>
                <w:rFonts w:ascii="Calibri" w:hAnsi="Calibri"/>
                <w:b/>
                <w:i w:val="0"/>
                <w:color w:val="FFFFFF"/>
                <w:sz w:val="19"/>
              </w:rPr>
              <w:t>Precision</w:t>
            </w:r>
          </w:p>
        </w:tc>
        <w:tc>
          <w:tcPr>
            <w:tcW w:type="dxa" w:w="1337"/>
            <w:shd w:val="clear" w:color="auto" w:fill="1F497D"/>
          </w:tcPr>
          <w:p>
            <w:pPr>
              <w:jc w:val="center"/>
            </w:pPr>
            <w:r>
              <w:rPr>
                <w:rFonts w:ascii="Calibri" w:hAnsi="Calibri"/>
                <w:b/>
                <w:i w:val="0"/>
                <w:color w:val="FFFFFF"/>
                <w:sz w:val="19"/>
              </w:rPr>
              <w:t>F1</w:t>
            </w:r>
          </w:p>
        </w:tc>
        <w:tc>
          <w:tcPr>
            <w:tcW w:type="dxa" w:w="1337"/>
            <w:shd w:val="clear" w:color="auto" w:fill="1F497D"/>
          </w:tcPr>
          <w:p>
            <w:pPr>
              <w:jc w:val="center"/>
            </w:pPr>
            <w:r>
              <w:rPr>
                <w:rFonts w:ascii="Calibri" w:hAnsi="Calibri"/>
                <w:b/>
                <w:i w:val="0"/>
                <w:color w:val="FFFFFF"/>
                <w:sz w:val="19"/>
              </w:rPr>
              <w:t>AUROC</w:t>
            </w:r>
          </w:p>
        </w:tc>
        <w:tc>
          <w:tcPr>
            <w:tcW w:type="dxa" w:w="1337"/>
            <w:shd w:val="clear" w:color="auto" w:fill="1F497D"/>
          </w:tcPr>
          <w:p>
            <w:pPr>
              <w:jc w:val="center"/>
            </w:pPr>
            <w:r>
              <w:rPr>
                <w:rFonts w:ascii="Calibri" w:hAnsi="Calibri"/>
                <w:b/>
                <w:i w:val="0"/>
                <w:color w:val="FFFFFF"/>
                <w:sz w:val="19"/>
              </w:rPr>
              <w:t>Accuracy</w:t>
            </w:r>
          </w:p>
        </w:tc>
      </w:tr>
      <w:tr>
        <w:tc>
          <w:tcPr>
            <w:tcW w:type="dxa" w:w="1337"/>
            <w:shd w:val="clear" w:color="auto" w:fill="DCE6F1"/>
          </w:tcPr>
          <w:p>
            <w:pPr>
              <w:jc w:val="left"/>
            </w:pPr>
            <w:r>
              <w:rPr>
                <w:rFonts w:ascii="Calibri" w:hAnsi="Calibri"/>
                <w:b/>
                <w:i w:val="0"/>
                <w:sz w:val="19"/>
              </w:rPr>
              <w:t>Logistic Regression</w:t>
            </w:r>
          </w:p>
        </w:tc>
        <w:tc>
          <w:tcPr>
            <w:tcW w:type="dxa" w:w="1337"/>
            <w:shd w:val="clear" w:color="auto" w:fill="DCE6F1"/>
          </w:tcPr>
          <w:p>
            <w:pPr>
              <w:jc w:val="center"/>
            </w:pPr>
            <w:r>
              <w:rPr>
                <w:rFonts w:ascii="Calibri" w:hAnsi="Calibri"/>
                <w:b w:val="0"/>
                <w:i w:val="0"/>
                <w:sz w:val="19"/>
              </w:rPr>
              <w:t>0.683</w:t>
            </w:r>
          </w:p>
        </w:tc>
        <w:tc>
          <w:tcPr>
            <w:tcW w:type="dxa" w:w="1337"/>
            <w:shd w:val="clear" w:color="auto" w:fill="DCE6F1"/>
          </w:tcPr>
          <w:p>
            <w:pPr>
              <w:jc w:val="center"/>
            </w:pPr>
            <w:r>
              <w:rPr>
                <w:rFonts w:ascii="Calibri" w:hAnsi="Calibri"/>
                <w:b w:val="0"/>
                <w:i w:val="0"/>
                <w:sz w:val="19"/>
              </w:rPr>
              <w:t>0.827</w:t>
            </w:r>
          </w:p>
        </w:tc>
        <w:tc>
          <w:tcPr>
            <w:tcW w:type="dxa" w:w="1337"/>
            <w:shd w:val="clear" w:color="auto" w:fill="DCE6F1"/>
          </w:tcPr>
          <w:p>
            <w:pPr>
              <w:jc w:val="center"/>
            </w:pPr>
            <w:r>
              <w:rPr>
                <w:rFonts w:ascii="Calibri" w:hAnsi="Calibri"/>
                <w:b w:val="0"/>
                <w:i w:val="0"/>
                <w:sz w:val="19"/>
              </w:rPr>
              <w:t>0.683</w:t>
            </w:r>
          </w:p>
        </w:tc>
        <w:tc>
          <w:tcPr>
            <w:tcW w:type="dxa" w:w="1337"/>
            <w:shd w:val="clear" w:color="auto" w:fill="DCE6F1"/>
          </w:tcPr>
          <w:p>
            <w:pPr>
              <w:jc w:val="center"/>
            </w:pPr>
            <w:r>
              <w:rPr>
                <w:rFonts w:ascii="Calibri" w:hAnsi="Calibri"/>
                <w:b w:val="0"/>
                <w:i w:val="0"/>
                <w:sz w:val="19"/>
              </w:rPr>
              <w:t>0.683</w:t>
            </w:r>
          </w:p>
        </w:tc>
        <w:tc>
          <w:tcPr>
            <w:tcW w:type="dxa" w:w="1337"/>
            <w:shd w:val="clear" w:color="auto" w:fill="DCE6F1"/>
          </w:tcPr>
          <w:p>
            <w:pPr>
              <w:jc w:val="center"/>
            </w:pPr>
            <w:r>
              <w:rPr>
                <w:rFonts w:ascii="Calibri" w:hAnsi="Calibri"/>
                <w:b w:val="0"/>
                <w:i w:val="0"/>
                <w:sz w:val="19"/>
              </w:rPr>
              <w:t>0.866</w:t>
            </w:r>
          </w:p>
        </w:tc>
        <w:tc>
          <w:tcPr>
            <w:tcW w:type="dxa" w:w="1337"/>
            <w:shd w:val="clear" w:color="auto" w:fill="DCE6F1"/>
          </w:tcPr>
          <w:p>
            <w:pPr>
              <w:jc w:val="center"/>
            </w:pPr>
            <w:r>
              <w:rPr>
                <w:rFonts w:ascii="Calibri" w:hAnsi="Calibri"/>
                <w:b w:val="0"/>
                <w:i w:val="0"/>
                <w:sz w:val="19"/>
              </w:rPr>
              <w:t>0.776</w:t>
            </w:r>
          </w:p>
        </w:tc>
      </w:tr>
      <w:tr>
        <w:tc>
          <w:tcPr>
            <w:tcW w:type="dxa" w:w="1337"/>
            <w:shd w:val="clear" w:color="auto" w:fill="FFFFFF"/>
          </w:tcPr>
          <w:p>
            <w:pPr>
              <w:jc w:val="left"/>
            </w:pPr>
            <w:r>
              <w:rPr>
                <w:rFonts w:ascii="Calibri" w:hAnsi="Calibri"/>
                <w:b/>
                <w:i w:val="0"/>
                <w:sz w:val="19"/>
              </w:rPr>
              <w:t>Random Forest</w:t>
            </w:r>
          </w:p>
        </w:tc>
        <w:tc>
          <w:tcPr>
            <w:tcW w:type="dxa" w:w="1337"/>
            <w:shd w:val="clear" w:color="auto" w:fill="FFFFFF"/>
          </w:tcPr>
          <w:p>
            <w:pPr>
              <w:jc w:val="center"/>
            </w:pPr>
            <w:r>
              <w:rPr>
                <w:rFonts w:ascii="Calibri" w:hAnsi="Calibri"/>
                <w:b w:val="0"/>
                <w:i w:val="0"/>
                <w:sz w:val="19"/>
              </w:rPr>
              <w:t>0.610</w:t>
            </w:r>
          </w:p>
        </w:tc>
        <w:tc>
          <w:tcPr>
            <w:tcW w:type="dxa" w:w="1337"/>
            <w:shd w:val="clear" w:color="auto" w:fill="FFFFFF"/>
          </w:tcPr>
          <w:p>
            <w:pPr>
              <w:jc w:val="center"/>
            </w:pPr>
            <w:r>
              <w:rPr>
                <w:rFonts w:ascii="Calibri" w:hAnsi="Calibri"/>
                <w:b w:val="0"/>
                <w:i w:val="0"/>
                <w:sz w:val="19"/>
              </w:rPr>
              <w:t>0.853</w:t>
            </w:r>
          </w:p>
        </w:tc>
        <w:tc>
          <w:tcPr>
            <w:tcW w:type="dxa" w:w="1337"/>
            <w:shd w:val="clear" w:color="auto" w:fill="FFFFFF"/>
          </w:tcPr>
          <w:p>
            <w:pPr>
              <w:jc w:val="center"/>
            </w:pPr>
            <w:r>
              <w:rPr>
                <w:rFonts w:ascii="Calibri" w:hAnsi="Calibri"/>
                <w:b w:val="0"/>
                <w:i w:val="0"/>
                <w:sz w:val="19"/>
              </w:rPr>
              <w:t>0.694</w:t>
            </w:r>
          </w:p>
        </w:tc>
        <w:tc>
          <w:tcPr>
            <w:tcW w:type="dxa" w:w="1337"/>
            <w:shd w:val="clear" w:color="auto" w:fill="FFFFFF"/>
          </w:tcPr>
          <w:p>
            <w:pPr>
              <w:jc w:val="center"/>
            </w:pPr>
            <w:r>
              <w:rPr>
                <w:rFonts w:ascii="Calibri" w:hAnsi="Calibri"/>
                <w:b w:val="0"/>
                <w:i w:val="0"/>
                <w:sz w:val="19"/>
              </w:rPr>
              <w:t>0.649</w:t>
            </w:r>
          </w:p>
        </w:tc>
        <w:tc>
          <w:tcPr>
            <w:tcW w:type="dxa" w:w="1337"/>
            <w:shd w:val="clear" w:color="auto" w:fill="FFFFFF"/>
          </w:tcPr>
          <w:p>
            <w:pPr>
              <w:jc w:val="center"/>
            </w:pPr>
            <w:r>
              <w:rPr>
                <w:rFonts w:ascii="Calibri" w:hAnsi="Calibri"/>
                <w:b w:val="0"/>
                <w:i w:val="0"/>
                <w:sz w:val="19"/>
              </w:rPr>
              <w:t>0.841</w:t>
            </w:r>
          </w:p>
        </w:tc>
        <w:tc>
          <w:tcPr>
            <w:tcW w:type="dxa" w:w="1337"/>
            <w:shd w:val="clear" w:color="auto" w:fill="FFFFFF"/>
          </w:tcPr>
          <w:p>
            <w:pPr>
              <w:jc w:val="center"/>
            </w:pPr>
            <w:r>
              <w:rPr>
                <w:rFonts w:ascii="Calibri" w:hAnsi="Calibri"/>
                <w:b w:val="0"/>
                <w:i w:val="0"/>
                <w:sz w:val="19"/>
              </w:rPr>
              <w:t>0.767</w:t>
            </w:r>
          </w:p>
        </w:tc>
      </w:tr>
      <w:tr>
        <w:tc>
          <w:tcPr>
            <w:tcW w:type="dxa" w:w="1337"/>
            <w:shd w:val="clear" w:color="auto" w:fill="DCE6F1"/>
          </w:tcPr>
          <w:p>
            <w:pPr>
              <w:jc w:val="left"/>
            </w:pPr>
            <w:r>
              <w:rPr>
                <w:rFonts w:ascii="Calibri" w:hAnsi="Calibri"/>
                <w:b/>
                <w:i w:val="0"/>
                <w:sz w:val="19"/>
              </w:rPr>
              <w:t>MLP</w:t>
            </w:r>
          </w:p>
        </w:tc>
        <w:tc>
          <w:tcPr>
            <w:tcW w:type="dxa" w:w="1337"/>
            <w:shd w:val="clear" w:color="auto" w:fill="DCE6F1"/>
          </w:tcPr>
          <w:p>
            <w:pPr>
              <w:jc w:val="center"/>
            </w:pPr>
            <w:r>
              <w:rPr>
                <w:rFonts w:ascii="Calibri" w:hAnsi="Calibri"/>
                <w:b w:val="0"/>
                <w:i w:val="0"/>
                <w:sz w:val="19"/>
              </w:rPr>
              <w:t>0.659</w:t>
            </w:r>
          </w:p>
        </w:tc>
        <w:tc>
          <w:tcPr>
            <w:tcW w:type="dxa" w:w="1337"/>
            <w:shd w:val="clear" w:color="auto" w:fill="DCE6F1"/>
          </w:tcPr>
          <w:p>
            <w:pPr>
              <w:jc w:val="center"/>
            </w:pPr>
            <w:r>
              <w:rPr>
                <w:rFonts w:ascii="Calibri" w:hAnsi="Calibri"/>
                <w:b w:val="0"/>
                <w:i w:val="0"/>
                <w:sz w:val="19"/>
              </w:rPr>
              <w:t>0.827</w:t>
            </w:r>
          </w:p>
        </w:tc>
        <w:tc>
          <w:tcPr>
            <w:tcW w:type="dxa" w:w="1337"/>
            <w:shd w:val="clear" w:color="auto" w:fill="DCE6F1"/>
          </w:tcPr>
          <w:p>
            <w:pPr>
              <w:jc w:val="center"/>
            </w:pPr>
            <w:r>
              <w:rPr>
                <w:rFonts w:ascii="Calibri" w:hAnsi="Calibri"/>
                <w:b w:val="0"/>
                <w:i w:val="0"/>
                <w:sz w:val="19"/>
              </w:rPr>
              <w:t>0.675</w:t>
            </w:r>
          </w:p>
        </w:tc>
        <w:tc>
          <w:tcPr>
            <w:tcW w:type="dxa" w:w="1337"/>
            <w:shd w:val="clear" w:color="auto" w:fill="DCE6F1"/>
          </w:tcPr>
          <w:p>
            <w:pPr>
              <w:jc w:val="center"/>
            </w:pPr>
            <w:r>
              <w:rPr>
                <w:rFonts w:ascii="Calibri" w:hAnsi="Calibri"/>
                <w:b w:val="0"/>
                <w:i w:val="0"/>
                <w:sz w:val="19"/>
              </w:rPr>
              <w:t>0.667</w:t>
            </w:r>
          </w:p>
        </w:tc>
        <w:tc>
          <w:tcPr>
            <w:tcW w:type="dxa" w:w="1337"/>
            <w:shd w:val="clear" w:color="auto" w:fill="DCE6F1"/>
          </w:tcPr>
          <w:p>
            <w:pPr>
              <w:jc w:val="center"/>
            </w:pPr>
            <w:r>
              <w:rPr>
                <w:rFonts w:ascii="Calibri" w:hAnsi="Calibri"/>
                <w:b w:val="0"/>
                <w:i w:val="0"/>
                <w:sz w:val="19"/>
              </w:rPr>
              <w:t>0.875 ★</w:t>
            </w:r>
          </w:p>
        </w:tc>
        <w:tc>
          <w:tcPr>
            <w:tcW w:type="dxa" w:w="1337"/>
            <w:shd w:val="clear" w:color="auto" w:fill="DCE6F1"/>
          </w:tcPr>
          <w:p>
            <w:pPr>
              <w:jc w:val="center"/>
            </w:pPr>
            <w:r>
              <w:rPr>
                <w:rFonts w:ascii="Calibri" w:hAnsi="Calibri"/>
                <w:b w:val="0"/>
                <w:i w:val="0"/>
                <w:sz w:val="19"/>
              </w:rPr>
              <w:t>0.767</w:t>
            </w:r>
          </w:p>
        </w:tc>
      </w:tr>
      <w:tr>
        <w:tc>
          <w:tcPr>
            <w:tcW w:type="dxa" w:w="1337"/>
            <w:shd w:val="clear" w:color="auto" w:fill="FFFFFF"/>
          </w:tcPr>
          <w:p>
            <w:pPr>
              <w:jc w:val="left"/>
            </w:pPr>
            <w:r>
              <w:rPr>
                <w:rFonts w:ascii="Calibri" w:hAnsi="Calibri"/>
                <w:b/>
                <w:i w:val="0"/>
                <w:sz w:val="19"/>
              </w:rPr>
              <w:t>Majority baseline</w:t>
            </w:r>
          </w:p>
        </w:tc>
        <w:tc>
          <w:tcPr>
            <w:tcW w:type="dxa" w:w="1337"/>
            <w:shd w:val="clear" w:color="auto" w:fill="FFFFFF"/>
          </w:tcPr>
          <w:p>
            <w:pPr>
              <w:jc w:val="center"/>
            </w:pPr>
            <w:r>
              <w:rPr>
                <w:rFonts w:ascii="Calibri" w:hAnsi="Calibri"/>
                <w:b w:val="0"/>
                <w:i w:val="0"/>
                <w:sz w:val="19"/>
              </w:rPr>
              <w:t>0.000</w:t>
            </w:r>
          </w:p>
        </w:tc>
        <w:tc>
          <w:tcPr>
            <w:tcW w:type="dxa" w:w="1337"/>
            <w:shd w:val="clear" w:color="auto" w:fill="FFFFFF"/>
          </w:tcPr>
          <w:p>
            <w:pPr>
              <w:jc w:val="center"/>
            </w:pPr>
            <w:r>
              <w:rPr>
                <w:rFonts w:ascii="Calibri" w:hAnsi="Calibri"/>
                <w:b w:val="0"/>
                <w:i w:val="0"/>
                <w:sz w:val="19"/>
              </w:rPr>
              <w:t>1.000</w:t>
            </w:r>
          </w:p>
        </w:tc>
        <w:tc>
          <w:tcPr>
            <w:tcW w:type="dxa" w:w="1337"/>
            <w:shd w:val="clear" w:color="auto" w:fill="FFFFFF"/>
          </w:tcPr>
          <w:p>
            <w:pPr>
              <w:jc w:val="center"/>
            </w:pPr>
            <w:r>
              <w:rPr>
                <w:rFonts w:ascii="Calibri" w:hAnsi="Calibri"/>
                <w:b w:val="0"/>
                <w:i w:val="0"/>
                <w:sz w:val="19"/>
              </w:rPr>
              <w:t>—</w:t>
            </w:r>
          </w:p>
        </w:tc>
        <w:tc>
          <w:tcPr>
            <w:tcW w:type="dxa" w:w="1337"/>
            <w:shd w:val="clear" w:color="auto" w:fill="FFFFFF"/>
          </w:tcPr>
          <w:p>
            <w:pPr>
              <w:jc w:val="center"/>
            </w:pPr>
            <w:r>
              <w:rPr>
                <w:rFonts w:ascii="Calibri" w:hAnsi="Calibri"/>
                <w:b w:val="0"/>
                <w:i w:val="0"/>
                <w:sz w:val="19"/>
              </w:rPr>
              <w:t>0.000</w:t>
            </w:r>
          </w:p>
        </w:tc>
        <w:tc>
          <w:tcPr>
            <w:tcW w:type="dxa" w:w="1337"/>
            <w:shd w:val="clear" w:color="auto" w:fill="FFFFFF"/>
          </w:tcPr>
          <w:p>
            <w:pPr>
              <w:jc w:val="center"/>
            </w:pPr>
            <w:r>
              <w:rPr>
                <w:rFonts w:ascii="Calibri" w:hAnsi="Calibri"/>
                <w:b w:val="0"/>
                <w:i w:val="0"/>
                <w:sz w:val="19"/>
              </w:rPr>
              <w:t>0.500</w:t>
            </w:r>
          </w:p>
        </w:tc>
        <w:tc>
          <w:tcPr>
            <w:tcW w:type="dxa" w:w="1337"/>
            <w:shd w:val="clear" w:color="auto" w:fill="FFFFFF"/>
          </w:tcPr>
          <w:p>
            <w:pPr>
              <w:jc w:val="center"/>
            </w:pPr>
            <w:r>
              <w:rPr>
                <w:rFonts w:ascii="Calibri" w:hAnsi="Calibri"/>
                <w:b w:val="0"/>
                <w:i w:val="0"/>
                <w:sz w:val="19"/>
              </w:rPr>
              <w:t>0.651</w:t>
            </w:r>
          </w:p>
        </w:tc>
      </w:tr>
    </w:tbl>
    <w:p>
      <w:pPr>
        <w:spacing w:before="40" w:after="160"/>
        <w:jc w:val="center"/>
      </w:pPr>
      <w:r>
        <w:rPr>
          <w:rFonts w:ascii="Calibri" w:hAnsi="Calibri"/>
          <w:b w:val="0"/>
          <w:i w:val="0"/>
          <w:color w:val="595959"/>
          <w:sz w:val="18"/>
        </w:rPr>
        <w:t>Table 1. Test-set performance metrics (n = 115). ★ = best AUROC.</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1F497D"/>
          </w:tcPr>
          <w:p>
            <w:pPr>
              <w:jc w:val="center"/>
            </w:pPr>
            <w:r>
              <w:rPr>
                <w:rFonts w:ascii="Calibri" w:hAnsi="Calibri"/>
                <w:b/>
                <w:i w:val="0"/>
                <w:color w:val="FFFFFF"/>
                <w:sz w:val="19"/>
              </w:rPr>
              <w:t>Model</w:t>
            </w:r>
          </w:p>
        </w:tc>
        <w:tc>
          <w:tcPr>
            <w:tcW w:type="dxa" w:w="2340"/>
            <w:shd w:val="clear" w:color="auto" w:fill="1F497D"/>
          </w:tcPr>
          <w:p>
            <w:pPr>
              <w:jc w:val="center"/>
            </w:pPr>
            <w:r>
              <w:rPr>
                <w:rFonts w:ascii="Calibri" w:hAnsi="Calibri"/>
                <w:b/>
                <w:i w:val="0"/>
                <w:color w:val="FFFFFF"/>
                <w:sz w:val="19"/>
              </w:rPr>
              <w:t>CV F1 Mean</w:t>
            </w:r>
          </w:p>
        </w:tc>
        <w:tc>
          <w:tcPr>
            <w:tcW w:type="dxa" w:w="2340"/>
            <w:shd w:val="clear" w:color="auto" w:fill="1F497D"/>
          </w:tcPr>
          <w:p>
            <w:pPr>
              <w:jc w:val="center"/>
            </w:pPr>
            <w:r>
              <w:rPr>
                <w:rFonts w:ascii="Calibri" w:hAnsi="Calibri"/>
                <w:b/>
                <w:i w:val="0"/>
                <w:color w:val="FFFFFF"/>
                <w:sz w:val="19"/>
              </w:rPr>
              <w:t>CV F1 Std</w:t>
            </w:r>
          </w:p>
        </w:tc>
        <w:tc>
          <w:tcPr>
            <w:tcW w:type="dxa" w:w="2340"/>
            <w:shd w:val="clear" w:color="auto" w:fill="1F497D"/>
          </w:tcPr>
          <w:p>
            <w:pPr>
              <w:jc w:val="center"/>
            </w:pPr>
            <w:r>
              <w:rPr>
                <w:rFonts w:ascii="Calibri" w:hAnsi="Calibri"/>
                <w:b/>
                <w:i w:val="0"/>
                <w:color w:val="FFFFFF"/>
                <w:sz w:val="19"/>
              </w:rPr>
              <w:t>Fold Scores</w:t>
            </w:r>
          </w:p>
        </w:tc>
      </w:tr>
      <w:tr>
        <w:tc>
          <w:tcPr>
            <w:tcW w:type="dxa" w:w="2340"/>
            <w:shd w:val="clear" w:color="auto" w:fill="DCE6F1"/>
          </w:tcPr>
          <w:p>
            <w:pPr>
              <w:jc w:val="left"/>
            </w:pPr>
            <w:r>
              <w:rPr>
                <w:rFonts w:ascii="Calibri" w:hAnsi="Calibri"/>
                <w:b/>
                <w:i w:val="0"/>
                <w:sz w:val="19"/>
              </w:rPr>
              <w:t>Logistic Regression</w:t>
            </w:r>
          </w:p>
        </w:tc>
        <w:tc>
          <w:tcPr>
            <w:tcW w:type="dxa" w:w="2340"/>
            <w:shd w:val="clear" w:color="auto" w:fill="DCE6F1"/>
          </w:tcPr>
          <w:p>
            <w:pPr>
              <w:jc w:val="center"/>
            </w:pPr>
            <w:r>
              <w:rPr>
                <w:rFonts w:ascii="Calibri" w:hAnsi="Calibri"/>
                <w:b w:val="0"/>
                <w:i w:val="0"/>
                <w:sz w:val="19"/>
              </w:rPr>
              <w:t>0.718</w:t>
            </w:r>
          </w:p>
        </w:tc>
        <w:tc>
          <w:tcPr>
            <w:tcW w:type="dxa" w:w="2340"/>
            <w:shd w:val="clear" w:color="auto" w:fill="DCE6F1"/>
          </w:tcPr>
          <w:p>
            <w:pPr>
              <w:jc w:val="center"/>
            </w:pPr>
            <w:r>
              <w:rPr>
                <w:rFonts w:ascii="Calibri" w:hAnsi="Calibri"/>
                <w:b w:val="0"/>
                <w:i w:val="0"/>
                <w:sz w:val="19"/>
              </w:rPr>
              <w:t>±0.029</w:t>
            </w:r>
          </w:p>
        </w:tc>
        <w:tc>
          <w:tcPr>
            <w:tcW w:type="dxa" w:w="2340"/>
            <w:shd w:val="clear" w:color="auto" w:fill="DCE6F1"/>
          </w:tcPr>
          <w:p>
            <w:pPr>
              <w:jc w:val="center"/>
            </w:pPr>
            <w:r>
              <w:rPr>
                <w:rFonts w:ascii="Calibri" w:hAnsi="Calibri"/>
                <w:b w:val="0"/>
                <w:i w:val="0"/>
                <w:sz w:val="19"/>
              </w:rPr>
              <w:t>0.736, 0.685, 0.682, 0.748, 0.739</w:t>
            </w:r>
          </w:p>
        </w:tc>
      </w:tr>
      <w:tr>
        <w:tc>
          <w:tcPr>
            <w:tcW w:type="dxa" w:w="2340"/>
            <w:shd w:val="clear" w:color="auto" w:fill="FFFFFF"/>
          </w:tcPr>
          <w:p>
            <w:pPr>
              <w:jc w:val="left"/>
            </w:pPr>
            <w:r>
              <w:rPr>
                <w:rFonts w:ascii="Calibri" w:hAnsi="Calibri"/>
                <w:b/>
                <w:i w:val="0"/>
                <w:sz w:val="19"/>
              </w:rPr>
              <w:t>Random Forest</w:t>
            </w:r>
          </w:p>
        </w:tc>
        <w:tc>
          <w:tcPr>
            <w:tcW w:type="dxa" w:w="2340"/>
            <w:shd w:val="clear" w:color="auto" w:fill="FFFFFF"/>
          </w:tcPr>
          <w:p>
            <w:pPr>
              <w:jc w:val="center"/>
            </w:pPr>
            <w:r>
              <w:rPr>
                <w:rFonts w:ascii="Calibri" w:hAnsi="Calibri"/>
                <w:b w:val="0"/>
                <w:i w:val="0"/>
                <w:sz w:val="19"/>
              </w:rPr>
              <w:t>0.801</w:t>
            </w:r>
          </w:p>
        </w:tc>
        <w:tc>
          <w:tcPr>
            <w:tcW w:type="dxa" w:w="2340"/>
            <w:shd w:val="clear" w:color="auto" w:fill="FFFFFF"/>
          </w:tcPr>
          <w:p>
            <w:pPr>
              <w:jc w:val="center"/>
            </w:pPr>
            <w:r>
              <w:rPr>
                <w:rFonts w:ascii="Calibri" w:hAnsi="Calibri"/>
                <w:b w:val="0"/>
                <w:i w:val="0"/>
                <w:sz w:val="19"/>
              </w:rPr>
              <w:t>±0.042</w:t>
            </w:r>
          </w:p>
        </w:tc>
        <w:tc>
          <w:tcPr>
            <w:tcW w:type="dxa" w:w="2340"/>
            <w:shd w:val="clear" w:color="auto" w:fill="FFFFFF"/>
          </w:tcPr>
          <w:p>
            <w:pPr>
              <w:jc w:val="center"/>
            </w:pPr>
            <w:r>
              <w:rPr>
                <w:rFonts w:ascii="Calibri" w:hAnsi="Calibri"/>
                <w:b w:val="0"/>
                <w:i w:val="0"/>
                <w:sz w:val="19"/>
              </w:rPr>
              <w:t>0.756, 0.769, 0.840, 0.862, 0.778</w:t>
            </w:r>
          </w:p>
        </w:tc>
      </w:tr>
    </w:tbl>
    <w:p>
      <w:pPr>
        <w:spacing w:before="40" w:after="160"/>
        <w:jc w:val="center"/>
      </w:pPr>
      <w:r>
        <w:rPr>
          <w:rFonts w:ascii="Calibri" w:hAnsi="Calibri"/>
          <w:b w:val="0"/>
          <w:i w:val="0"/>
          <w:color w:val="595959"/>
          <w:sz w:val="18"/>
        </w:rPr>
        <w:t>Table 2. Five-fold cross-validation F1 on train+validation set.</w:t>
      </w:r>
    </w:p>
    <w:p>
      <w:pPr>
        <w:spacing w:after="100" w:before="0"/>
        <w:jc w:val="both"/>
      </w:pPr>
      <w:r>
        <w:rPr>
          <w:rFonts w:ascii="Calibri" w:hAnsi="Calibri"/>
          <w:b w:val="0"/>
          <w:i w:val="0"/>
          <w:sz w:val="21"/>
        </w:rPr>
        <w:t>Feature importance analysis (Figure 3) consistently identifies Glucose as the strongest predictor across all methods, followed by BMI and Age, consistent with clinical guidelines that treat fasting plasma glucose and BMI as primary T2DM risk indicators (ADA, 2023).</w:t>
      </w:r>
    </w:p>
    <w:tbl>
      <w:tblPr>
        <w:tblW w:type="auto" w:w="0"/>
        <w:jc w:val="center"/>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2606040" cy="2233749"/>
                  <wp:docPr id="1" name="Picture 1"/>
                  <wp:cNvGraphicFramePr>
                    <a:graphicFrameLocks noChangeAspect="1"/>
                  </wp:cNvGraphicFramePr>
                  <a:graphic>
                    <a:graphicData uri="http://schemas.openxmlformats.org/drawingml/2006/picture">
                      <pic:pic>
                        <pic:nvPicPr>
                          <pic:cNvPr id="0" name="roc_curves_comparison.png"/>
                          <pic:cNvPicPr/>
                        </pic:nvPicPr>
                        <pic:blipFill>
                          <a:blip r:embed="rId9"/>
                          <a:stretch>
                            <a:fillRect/>
                          </a:stretch>
                        </pic:blipFill>
                        <pic:spPr>
                          <a:xfrm>
                            <a:off x="0" y="0"/>
                            <a:ext cx="2606040" cy="2233749"/>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606040" cy="1563624"/>
                  <wp:docPr id="2" name="Picture 2"/>
                  <wp:cNvGraphicFramePr>
                    <a:graphicFrameLocks noChangeAspect="1"/>
                  </wp:cNvGraphicFramePr>
                  <a:graphic>
                    <a:graphicData uri="http://schemas.openxmlformats.org/drawingml/2006/picture">
                      <pic:pic>
                        <pic:nvPicPr>
                          <pic:cNvPr id="0" name="model_comparison.png"/>
                          <pic:cNvPicPr/>
                        </pic:nvPicPr>
                        <pic:blipFill>
                          <a:blip r:embed="rId10"/>
                          <a:stretch>
                            <a:fillRect/>
                          </a:stretch>
                        </pic:blipFill>
                        <pic:spPr>
                          <a:xfrm>
                            <a:off x="0" y="0"/>
                            <a:ext cx="2606040" cy="1563624"/>
                          </a:xfrm>
                          <a:prstGeom prst="rect"/>
                        </pic:spPr>
                      </pic:pic>
                    </a:graphicData>
                  </a:graphic>
                </wp:inline>
              </w:drawing>
            </w:r>
          </w:p>
        </w:tc>
      </w:tr>
    </w:tbl>
    <w:p>
      <w:pPr>
        <w:spacing w:before="40" w:after="160"/>
        <w:jc w:val="center"/>
      </w:pPr>
      <w:r>
        <w:rPr>
          <w:rFonts w:ascii="Calibri" w:hAnsi="Calibri"/>
          <w:b w:val="0"/>
          <w:i w:val="0"/>
          <w:color w:val="595959"/>
          <w:sz w:val="18"/>
        </w:rPr>
        <w:t>Figure 1. Left: ROC curves for all three models on the held-out test set. Right: Grouped bar chart comparing Accuracy, F1, and AUROC.</w:t>
      </w:r>
    </w:p>
    <w:tbl>
      <w:tblPr>
        <w:tblW w:type="auto" w:w="0"/>
        <w:jc w:val="center"/>
        <w:tblLook w:firstColumn="1" w:firstRow="1" w:lastColumn="0" w:lastRow="0" w:noHBand="0" w:noVBand="1" w:val="04A0"/>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37360" cy="1389888"/>
                  <wp:docPr id="3" name="Picture 3"/>
                  <wp:cNvGraphicFramePr>
                    <a:graphicFrameLocks noChangeAspect="1"/>
                  </wp:cNvGraphicFramePr>
                  <a:graphic>
                    <a:graphicData uri="http://schemas.openxmlformats.org/drawingml/2006/picture">
                      <pic:pic>
                        <pic:nvPicPr>
                          <pic:cNvPr id="0" name="logistic_regression_confusion.png"/>
                          <pic:cNvPicPr/>
                        </pic:nvPicPr>
                        <pic:blipFill>
                          <a:blip r:embed="rId11"/>
                          <a:stretch>
                            <a:fillRect/>
                          </a:stretch>
                        </pic:blipFill>
                        <pic:spPr>
                          <a:xfrm>
                            <a:off x="0" y="0"/>
                            <a:ext cx="1737360" cy="1389888"/>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37360" cy="1389888"/>
                  <wp:docPr id="4" name="Picture 4"/>
                  <wp:cNvGraphicFramePr>
                    <a:graphicFrameLocks noChangeAspect="1"/>
                  </wp:cNvGraphicFramePr>
                  <a:graphic>
                    <a:graphicData uri="http://schemas.openxmlformats.org/drawingml/2006/picture">
                      <pic:pic>
                        <pic:nvPicPr>
                          <pic:cNvPr id="0" name="random_forest_confusion.png"/>
                          <pic:cNvPicPr/>
                        </pic:nvPicPr>
                        <pic:blipFill>
                          <a:blip r:embed="rId12"/>
                          <a:stretch>
                            <a:fillRect/>
                          </a:stretch>
                        </pic:blipFill>
                        <pic:spPr>
                          <a:xfrm>
                            <a:off x="0" y="0"/>
                            <a:ext cx="1737360" cy="1389888"/>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37360" cy="1389888"/>
                  <wp:docPr id="5" name="Picture 5"/>
                  <wp:cNvGraphicFramePr>
                    <a:graphicFrameLocks noChangeAspect="1"/>
                  </wp:cNvGraphicFramePr>
                  <a:graphic>
                    <a:graphicData uri="http://schemas.openxmlformats.org/drawingml/2006/picture">
                      <pic:pic>
                        <pic:nvPicPr>
                          <pic:cNvPr id="0" name="mlp_confusion.png"/>
                          <pic:cNvPicPr/>
                        </pic:nvPicPr>
                        <pic:blipFill>
                          <a:blip r:embed="rId13"/>
                          <a:stretch>
                            <a:fillRect/>
                          </a:stretch>
                        </pic:blipFill>
                        <pic:spPr>
                          <a:xfrm>
                            <a:off x="0" y="0"/>
                            <a:ext cx="1737360" cy="1389888"/>
                          </a:xfrm>
                          <a:prstGeom prst="rect"/>
                        </pic:spPr>
                      </pic:pic>
                    </a:graphicData>
                  </a:graphic>
                </wp:inline>
              </w:drawing>
            </w:r>
          </w:p>
        </w:tc>
      </w:tr>
    </w:tbl>
    <w:p>
      <w:pPr>
        <w:spacing w:before="40" w:after="160"/>
        <w:jc w:val="center"/>
      </w:pPr>
      <w:r>
        <w:rPr>
          <w:rFonts w:ascii="Calibri" w:hAnsi="Calibri"/>
          <w:b w:val="0"/>
          <w:i w:val="0"/>
          <w:color w:val="595959"/>
          <w:sz w:val="18"/>
        </w:rPr>
        <w:t>Figure 2. Confusion matrices on the held-out test set: Logistic Regression (left), Random Forest (centre), MLP (right).</w:t>
      </w:r>
    </w:p>
    <w:p>
      <w:pPr>
        <w:jc w:val="center"/>
      </w:pPr>
      <w:r>
        <w:drawing>
          <wp:inline xmlns:a="http://schemas.openxmlformats.org/drawingml/2006/main" xmlns:pic="http://schemas.openxmlformats.org/drawingml/2006/picture">
            <wp:extent cx="3840480" cy="2400300"/>
            <wp:docPr id="6" name="Picture 6"/>
            <wp:cNvGraphicFramePr>
              <a:graphicFrameLocks noChangeAspect="1"/>
            </wp:cNvGraphicFramePr>
            <a:graphic>
              <a:graphicData uri="http://schemas.openxmlformats.org/drawingml/2006/picture">
                <pic:pic>
                  <pic:nvPicPr>
                    <pic:cNvPr id="0" name="feature_importance.png"/>
                    <pic:cNvPicPr/>
                  </pic:nvPicPr>
                  <pic:blipFill>
                    <a:blip r:embed="rId14"/>
                    <a:stretch>
                      <a:fillRect/>
                    </a:stretch>
                  </pic:blipFill>
                  <pic:spPr>
                    <a:xfrm>
                      <a:off x="0" y="0"/>
                      <a:ext cx="3840480" cy="2400300"/>
                    </a:xfrm>
                    <a:prstGeom prst="rect"/>
                  </pic:spPr>
                </pic:pic>
              </a:graphicData>
            </a:graphic>
          </wp:inline>
        </w:drawing>
      </w:r>
    </w:p>
    <w:p>
      <w:pPr>
        <w:spacing w:before="40" w:after="160"/>
        <w:jc w:val="center"/>
      </w:pPr>
      <w:r>
        <w:rPr>
          <w:rFonts w:ascii="Calibri" w:hAnsi="Calibri"/>
          <w:b w:val="0"/>
          <w:i w:val="0"/>
          <w:color w:val="595959"/>
          <w:sz w:val="18"/>
        </w:rPr>
        <w:t>Figure 3. Random Forest feature importances for the five selected features.</w:t>
      </w:r>
    </w:p>
    <w:p>
      <w:pPr>
        <w:spacing w:before="200" w:after="60"/>
      </w:pPr>
      <w:r>
        <w:rPr>
          <w:rFonts w:ascii="Calibri" w:hAnsi="Calibri"/>
          <w:b/>
          <w:i w:val="0"/>
          <w:color w:val="1F497D"/>
          <w:sz w:val="24"/>
        </w:rPr>
        <w:t>4. Discussion</w:t>
      </w:r>
    </w:p>
    <w:p>
      <w:pPr>
        <w:spacing w:before="120" w:after="40"/>
      </w:pPr>
      <w:r>
        <w:rPr>
          <w:rFonts w:ascii="Calibri" w:hAnsi="Calibri"/>
          <w:b/>
          <w:i w:val="0"/>
          <w:color w:val="000000"/>
          <w:sz w:val="22"/>
        </w:rPr>
        <w:t>4.1  Key Findings</w:t>
      </w:r>
    </w:p>
    <w:p>
      <w:pPr>
        <w:spacing w:after="100" w:before="0"/>
        <w:jc w:val="both"/>
      </w:pPr>
      <w:r>
        <w:rPr>
          <w:rFonts w:ascii="Calibri" w:hAnsi="Calibri"/>
          <w:b w:val="0"/>
          <w:i w:val="0"/>
          <w:sz w:val="21"/>
        </w:rPr>
        <w:t>All three models achieve AUROC &gt; 0.84 and accuracy &gt; 76%, demonstrating that eight routinely collected clinical measurements carry substantial predictive signal for T2DM. The MLP's superior AUROC (0.875) confirms that non-linear feature interactions contribute to discrimination; however, its F1 advantage over LR is marginal (0.667 vs 0.683), suggesting that a linear model is already a strong baseline after preprocessing and feature selection. RF's high specificity (0.853) makes it preferable in settings where minimising false positives (e.g., costly downstream tests) is paramount, whereas the MLP's higher sensitivity (0.659) is more suitable for population-level screening where missing a true positive carries the higher cost. Glucose and BMI emerged as the most informative features, consistent with established clinical risk criteria (ADA, 2023; WHO, 2006). Insulin and SkinThickness, despite ~30–49% missingness after zero replacement, remained in the selected feature set, indicating residual predictive signal even after median imputation.</w:t>
      </w:r>
    </w:p>
    <w:p>
      <w:pPr>
        <w:spacing w:before="120" w:after="40"/>
      </w:pPr>
      <w:r>
        <w:rPr>
          <w:rFonts w:ascii="Calibri" w:hAnsi="Calibri"/>
          <w:b/>
          <w:i w:val="0"/>
          <w:color w:val="000000"/>
          <w:sz w:val="22"/>
        </w:rPr>
        <w:t>4.2  Limitations</w:t>
      </w:r>
    </w:p>
    <w:p>
      <w:pPr>
        <w:spacing w:after="100" w:before="0"/>
        <w:jc w:val="both"/>
      </w:pPr>
      <w:r>
        <w:rPr>
          <w:rFonts w:ascii="Calibri" w:hAnsi="Calibri"/>
          <w:b w:val="0"/>
          <w:i w:val="0"/>
          <w:sz w:val="21"/>
        </w:rPr>
        <w:t>The Pima Indians dataset has several well-documented limitations (Sisodia &amp; Sisodia, 2018). First, it covers only Pima Native American women aged ≥ 21 years — a narrow demographic that limits external validity to other populations. Second, the dataset is small (n = 768), yielding a test set of only 115 observations; performance estimates carry wide confidence intervals and may not be stable. Third, median imputation for zero-coded missing values is a simplistic strategy that does not account for missingness-at-random patterns, potentially introducing bias. Fourth, no probability calibration was applied; predicted probabilities from the MLP and RF may be miscalibrated and should not be interpreted as true risk estimates without further validation.</w:t>
      </w:r>
    </w:p>
    <w:p>
      <w:pPr>
        <w:spacing w:before="120" w:after="40"/>
      </w:pPr>
      <w:r>
        <w:rPr>
          <w:rFonts w:ascii="Calibri" w:hAnsi="Calibri"/>
          <w:b/>
          <w:i w:val="0"/>
          <w:color w:val="000000"/>
          <w:sz w:val="22"/>
        </w:rPr>
        <w:t>4.3  Recommended Next Steps</w:t>
      </w:r>
    </w:p>
    <w:p>
      <w:pPr>
        <w:spacing w:after="160" w:before="0"/>
        <w:jc w:val="both"/>
      </w:pPr>
      <w:r>
        <w:rPr>
          <w:rFonts w:ascii="Calibri" w:hAnsi="Calibri"/>
          <w:b w:val="0"/>
          <w:i w:val="0"/>
          <w:sz w:val="21"/>
        </w:rPr>
        <w:t>Future work should: (1) validate the pipeline on larger, demographically diverse datasets (e.g., NHANES, UK Biobank) to assess generalisability; (2) incorporate HbA1c and fasting plasma glucose, the gold-standard biomarkers, as additional features; (3) apply probability calibration (Platt scaling or isotonic regression) and report calibration curves (reliability diagrams) alongside AUROC; (4) explore uncertainty quantification methods (Monte Carlo Dropout, conformal prediction) to provide confidence intervals on individual predictions; (5) conduct a prospective clinical validation study and assess model fairness across age, sex, and ethnicity strata before any deployment consideration.</w:t>
      </w:r>
    </w:p>
    <w:p>
      <w:pPr>
        <w:spacing w:before="40" w:after="40"/>
        <w:pBdr>
          <w:bottom w:val="single" w:sz="6" w:space="1" w:color="1F497D"/>
        </w:pBdr>
      </w:pPr>
    </w:p>
    <w:p>
      <w:pPr>
        <w:spacing w:before="120" w:after="60"/>
      </w:pPr>
      <w:r>
        <w:rPr>
          <w:rFonts w:ascii="Calibri" w:hAnsi="Calibri"/>
          <w:b/>
          <w:i w:val="0"/>
          <w:color w:val="1F497D"/>
          <w:sz w:val="22"/>
        </w:rPr>
        <w:t>References</w:t>
      </w:r>
    </w:p>
    <w:p>
      <w:pPr>
        <w:pStyle w:val="ListBullet"/>
        <w:spacing w:after="40"/>
        <w:ind w:left="360"/>
      </w:pPr>
      <w:r>
        <w:rPr>
          <w:rFonts w:ascii="Calibri" w:hAnsi="Calibri"/>
          <w:b w:val="0"/>
          <w:i w:val="0"/>
          <w:sz w:val="19"/>
        </w:rPr>
        <w:t>American Diabetes Association (2023). Standards of Medical Care in Diabetes — 2023. Diabetes Care, 46(Suppl 1), S1–S291.</w:t>
      </w:r>
    </w:p>
    <w:p>
      <w:pPr>
        <w:pStyle w:val="ListBullet"/>
        <w:spacing w:after="40"/>
        <w:ind w:left="360"/>
      </w:pPr>
      <w:r>
        <w:rPr>
          <w:rFonts w:ascii="Calibri" w:hAnsi="Calibri"/>
          <w:b w:val="0"/>
          <w:i w:val="0"/>
          <w:sz w:val="19"/>
        </w:rPr>
        <w:t>Chawla, N.V., Bowyer, K.W., Hall, L.O., &amp; Kegelmeyer, W.P. (2002). SMOTE: Synthetic minority over-sampling technique. Journal of Artificial Intelligence Research, 16, 321–357.</w:t>
      </w:r>
    </w:p>
    <w:p>
      <w:pPr>
        <w:pStyle w:val="ListBullet"/>
        <w:spacing w:after="40"/>
        <w:ind w:left="360"/>
      </w:pPr>
      <w:r>
        <w:rPr>
          <w:rFonts w:ascii="Calibri" w:hAnsi="Calibri"/>
          <w:b w:val="0"/>
          <w:i w:val="0"/>
          <w:sz w:val="19"/>
        </w:rPr>
        <w:t>International Diabetes Federation (2021). IDF Diabetes Atlas, 10th edition. Brussels, Belgium. https://www.diabetesatlas.org</w:t>
      </w:r>
    </w:p>
    <w:p>
      <w:pPr>
        <w:pStyle w:val="ListBullet"/>
        <w:spacing w:after="40"/>
        <w:ind w:left="360"/>
      </w:pPr>
      <w:r>
        <w:rPr>
          <w:rFonts w:ascii="Calibri" w:hAnsi="Calibri"/>
          <w:b w:val="0"/>
          <w:i w:val="0"/>
          <w:sz w:val="19"/>
        </w:rPr>
        <w:t>Kavakiotis, I., Tsave, O., Salifoglou, A., Maglaveras, N., Vlahavas, I., &amp; Chouvarda, I. (2017). Machine learning and data mining methods in diabetes research. Computational and Structural Biotechnology Journal, 15, 104–116.</w:t>
      </w:r>
    </w:p>
    <w:p>
      <w:pPr>
        <w:pStyle w:val="ListBullet"/>
        <w:spacing w:after="40"/>
        <w:ind w:left="360"/>
      </w:pPr>
      <w:r>
        <w:rPr>
          <w:rFonts w:ascii="Calibri" w:hAnsi="Calibri"/>
          <w:b w:val="0"/>
          <w:i w:val="0"/>
          <w:sz w:val="19"/>
        </w:rPr>
        <w:t>Pedregosa, F. et al. (2011). Scikit-learn: Machine learning in Python. Journal of Machine Learning Research, 12, 2825–2830.</w:t>
      </w:r>
    </w:p>
    <w:p>
      <w:pPr>
        <w:pStyle w:val="ListBullet"/>
        <w:spacing w:after="40"/>
        <w:ind w:left="360"/>
      </w:pPr>
      <w:r>
        <w:rPr>
          <w:rFonts w:ascii="Calibri" w:hAnsi="Calibri"/>
          <w:b w:val="0"/>
          <w:i w:val="0"/>
          <w:sz w:val="19"/>
        </w:rPr>
        <w:t>Paszke, A. et al. (2019). PyTorch: An imperative style, high-performance deep learning library. Advances in Neural Information Processing Systems, 32.</w:t>
      </w:r>
    </w:p>
    <w:p>
      <w:pPr>
        <w:pStyle w:val="ListBullet"/>
        <w:spacing w:after="40"/>
        <w:ind w:left="360"/>
      </w:pPr>
      <w:r>
        <w:rPr>
          <w:rFonts w:ascii="Calibri" w:hAnsi="Calibri"/>
          <w:b w:val="0"/>
          <w:i w:val="0"/>
          <w:sz w:val="19"/>
        </w:rPr>
        <w:t>Roglic, G. (2016). WHO Global report on diabetes. World Health Organization.</w:t>
      </w:r>
    </w:p>
    <w:p>
      <w:pPr>
        <w:pStyle w:val="ListBullet"/>
        <w:spacing w:after="40"/>
        <w:ind w:left="360"/>
      </w:pPr>
      <w:r>
        <w:rPr>
          <w:rFonts w:ascii="Calibri" w:hAnsi="Calibri"/>
          <w:b w:val="0"/>
          <w:i w:val="0"/>
          <w:sz w:val="19"/>
        </w:rPr>
        <w:t>Sisodia, D., &amp; Sisodia, D.S. (2018). Prediction of diabetes using classification algorithms. Procedia Computer Science, 132, 1578–1585.</w:t>
      </w:r>
    </w:p>
    <w:p>
      <w:pPr>
        <w:pStyle w:val="ListBullet"/>
        <w:spacing w:after="40"/>
        <w:ind w:left="360"/>
      </w:pPr>
      <w:r>
        <w:rPr>
          <w:rFonts w:ascii="Calibri" w:hAnsi="Calibri"/>
          <w:b w:val="0"/>
          <w:i w:val="0"/>
          <w:sz w:val="19"/>
        </w:rPr>
        <w:t>Smith, J.W., Everhart, J.E., Dickson, W.C., Knowler, W.C., &amp; Johannes, R.S. (1988). Using the ADAP learning algorithm to forecast the onset of diabetes mellitus. Proceedings of the Annual Symposium on Computer Application in Medical Care, 261–265.</w:t>
      </w:r>
    </w:p>
    <w:p>
      <w:pPr>
        <w:pStyle w:val="ListBullet"/>
        <w:spacing w:after="40"/>
        <w:ind w:left="360"/>
      </w:pPr>
      <w:r>
        <w:rPr>
          <w:rFonts w:ascii="Calibri" w:hAnsi="Calibri"/>
          <w:b w:val="0"/>
          <w:i w:val="0"/>
          <w:sz w:val="19"/>
        </w:rPr>
        <w:t>World Health Organization (2006). Definition and diagnosis of diabetes mellitus and intermediate hyperglycaemia: Report of a WHO/IDF consultation. Geneva: WHO.</w:t>
      </w:r>
    </w:p>
    <w:p>
      <w:r>
        <w:br w:type="page"/>
      </w:r>
    </w:p>
    <w:p>
      <w:pPr>
        <w:spacing w:before="80" w:after="60"/>
      </w:pPr>
      <w:r>
        <w:rPr>
          <w:rFonts w:ascii="Calibri" w:hAnsi="Calibri"/>
          <w:b/>
          <w:i w:val="0"/>
          <w:color w:val="595959"/>
          <w:sz w:val="24"/>
        </w:rPr>
        <w:t>Documentation of AI (LLM) Use in Assignment Completion</w:t>
      </w:r>
    </w:p>
    <w:p>
      <w:pPr>
        <w:spacing w:after="160" w:before="0"/>
        <w:jc w:val="both"/>
      </w:pPr>
      <w:r>
        <w:rPr>
          <w:rFonts w:ascii="Calibri" w:hAnsi="Calibri"/>
          <w:b w:val="0"/>
          <w:i w:val="0"/>
          <w:sz w:val="21"/>
        </w:rPr>
        <w:t>In accordance with the AI policy at Luleå tekniska universitet, all uses of AI tools in this project are documented below. AI was used to accelerate implementation and structure code; all analytical decisions, interpretation of results, and the written report text are the work of the student authors. No fully AI-generated text has been used in the report body.</w:t>
      </w:r>
    </w:p>
    <w:p>
      <w:pPr>
        <w:spacing w:after="40" w:before="120"/>
      </w:pPr>
      <w:r>
        <w:rPr>
          <w:rFonts w:ascii="Calibri" w:hAnsi="Calibri"/>
          <w:b/>
          <w:i w:val="0"/>
          <w:sz w:val="21"/>
        </w:rPr>
        <w:t>Use 1: Code scaffolding — pipeline architecture</w:t>
      </w:r>
    </w:p>
    <w:p>
      <w:pPr>
        <w:spacing w:after="80" w:before="0"/>
        <w:jc w:val="both"/>
      </w:pPr>
      <w:r>
        <w:rPr>
          <w:rFonts w:ascii="Calibri" w:hAnsi="Calibri"/>
          <w:b w:val="0"/>
          <w:i w:val="0"/>
          <w:sz w:val="21"/>
        </w:rPr>
        <w:t>Prompt (paraphrased): 'I need a Python ML pipeline for the Pima diabetes dataset. Create a modular src/ layout with dataset.py for preprocessing (zero imputation, stratified split, median imputation, StandardScaler, ANOVA+RF feature selection, SMOTE), model.py with Logistic Regression, Random Forest and an MLP class using PyTorch, train.py with 5-fold CV and GridSearchCV for RF, and evaluate.py with confusion matrix, ROC curve, model comparison bar chart and feature importance plots.' Output reviewed and adapted; hyperparameter grids and threshold choices made by student.</w:t>
      </w:r>
    </w:p>
    <w:p>
      <w:pPr>
        <w:spacing w:after="40" w:before="120"/>
      </w:pPr>
      <w:r>
        <w:rPr>
          <w:rFonts w:ascii="Calibri" w:hAnsi="Calibri"/>
          <w:b/>
          <w:i w:val="0"/>
          <w:sz w:val="21"/>
        </w:rPr>
        <w:t>Use 2: Debugging — ModuleNotFoundError in pytest</w:t>
      </w:r>
    </w:p>
    <w:p>
      <w:pPr>
        <w:spacing w:after="80" w:before="0"/>
        <w:jc w:val="both"/>
      </w:pPr>
      <w:r>
        <w:rPr>
          <w:rFonts w:ascii="Calibri" w:hAnsi="Calibri"/>
          <w:b w:val="0"/>
          <w:i w:val="0"/>
          <w:sz w:val="21"/>
        </w:rPr>
        <w:t>Prompt: 'Running pytest on Mac gives ModuleNotFoundError: No module named src. How do I fix this?' AI suggested adding pythonpath = . to pytest.ini. Verified by student and committed.</w:t>
      </w:r>
    </w:p>
    <w:p>
      <w:pPr>
        <w:spacing w:after="40" w:before="120"/>
      </w:pPr>
      <w:r>
        <w:rPr>
          <w:rFonts w:ascii="Calibri" w:hAnsi="Calibri"/>
          <w:b/>
          <w:i w:val="0"/>
          <w:sz w:val="21"/>
        </w:rPr>
        <w:t>Use 3: Report structure &amp; academic writing assistance</w:t>
      </w:r>
    </w:p>
    <w:p>
      <w:pPr>
        <w:spacing w:after="80" w:before="0"/>
        <w:jc w:val="both"/>
      </w:pPr>
      <w:r>
        <w:rPr>
          <w:rFonts w:ascii="Calibri" w:hAnsi="Calibri"/>
          <w:b w:val="0"/>
          <w:i w:val="0"/>
          <w:sz w:val="21"/>
        </w:rPr>
        <w:t>Prompt: 'Help me outline a 3-page academic report for a diabetes prediction ML project covering introduction, methods, results (sensitivity/specificity/F1/AUROC), discussion, and references in the style of a medical informatics journal.' The outline and section headings were suggested by the AI. All substantive content (numeric results, interpretation, clinical context, limitations) was written by the student, with AI used only for sentence-level grammar checking.</w:t>
      </w:r>
    </w:p>
    <w:p>
      <w:pPr>
        <w:spacing w:after="40" w:before="120"/>
      </w:pPr>
      <w:r>
        <w:rPr>
          <w:rFonts w:ascii="Calibri" w:hAnsi="Calibri"/>
          <w:b/>
          <w:i w:val="0"/>
          <w:sz w:val="21"/>
        </w:rPr>
        <w:t>Use 4: PPTX/DOCX generation scripts</w:t>
      </w:r>
    </w:p>
    <w:p>
      <w:pPr>
        <w:spacing w:after="80" w:before="0"/>
        <w:jc w:val="both"/>
      </w:pPr>
      <w:r>
        <w:rPr>
          <w:rFonts w:ascii="Calibri" w:hAnsi="Calibri"/>
          <w:b w:val="0"/>
          <w:i w:val="0"/>
          <w:sz w:val="21"/>
        </w:rPr>
        <w:t>Prompt: 'Write a python-pptx script to generate a 15-slide professional presentation for the diabetes prediction project with a navy/blue/orange design system, including title, agenda, problem, dataset, EDA, preprocessing, model slides, results table and conclusion.' AI generated the initial script; student reviewed layout, corrected coordinate errors, and adjusted content to match actual results.</w:t>
      </w:r>
    </w:p>
    <w:p>
      <w:pPr>
        <w:spacing w:after="40" w:before="120"/>
      </w:pPr>
      <w:r>
        <w:rPr>
          <w:rFonts w:ascii="Calibri" w:hAnsi="Calibri"/>
          <w:b/>
          <w:i w:val="0"/>
          <w:sz w:val="21"/>
        </w:rPr>
        <w:t>Use 5: Fix teammate's IndentationError in evaluate.py</w:t>
      </w:r>
    </w:p>
    <w:p>
      <w:pPr>
        <w:spacing w:after="80" w:before="0"/>
        <w:jc w:val="both"/>
      </w:pPr>
      <w:r>
        <w:rPr>
          <w:rFonts w:ascii="Calibri" w:hAnsi="Calibri"/>
          <w:b w:val="0"/>
          <w:i w:val="0"/>
          <w:sz w:val="21"/>
        </w:rPr>
        <w:t>Prompt: 'A teammate pushed a commit that added sensitivity/specificity to compute_metrics() but introduced an IndentationError on line 30 (1-space indent). Fix the indentation and confirm all 17 pytest tests pass.' AI applied the fix; student verified with python -m pytest tests/ -v.</w:t>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