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color w:val="17365D"/>
        </w:rPr>
        <w:t>NURIKS ACADEMY</w:t>
      </w:r>
    </w:p>
    <w:p>
      <w:pPr>
        <w:spacing w:after="180"/>
      </w:pPr>
      <w:r>
        <w:rPr>
          <w:b/>
          <w:color w:val="2F75B5"/>
          <w:sz w:val="34"/>
        </w:rPr>
        <w:t>Уточняющие решения по финансовой системе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</w:tcPr>
          <w:p>
            <w:r>
              <w:rPr>
                <w:b/>
              </w:rPr>
              <w:t xml:space="preserve">Назначение документа. </w:t>
            </w:r>
            <w:r>
              <w:t>Здесь собраны только вопросы, которые остались неоднозначными после заполненного согласования. Они влияют на счета, зарплаты, долги, кассу или права доступа, поэтому разработка денежной логики не должна начинаться до письменного ответа.</w:t>
            </w:r>
          </w:p>
        </w:tc>
      </w:tr>
    </w:tbl>
    <w:p>
      <w:pPr>
        <w:spacing w:before="140"/>
      </w:pPr>
      <w:r>
        <w:rPr>
          <w:b/>
        </w:rPr>
        <w:t xml:space="preserve">Как заполнять: </w:t>
      </w:r>
      <w:r>
        <w:t>в каждом пункте подтвердите рекомендуемый вариант словом «Согласовано» либо впишите своё правило. Если решение пока не принято, укажите ответственного и срок.</w:t>
      </w:r>
    </w:p>
    <w:p>
      <w:pPr>
        <w:pStyle w:val="Heading1"/>
      </w:pPr>
      <w:r>
        <w:t>1. Начисления за уроки и зарплата преподавателей</w:t>
      </w:r>
    </w:p>
    <w:p>
      <w:pPr>
        <w:pStyle w:val="Heading2"/>
        <w:keepNext/>
        <w:spacing w:before="200" w:after="100"/>
      </w:pPr>
      <w:r>
        <w:rPr>
          <w:color w:val="2F75B5"/>
        </w:rPr>
        <w:t>1. Точная формула стоимости одного урока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Утверждены месячные тарифы и стандарт 12 уроков, но некоторые суммы не делятся на 12 без остатка. Нельзя заранее округлять каждый урок — итог за 12 уроков может перестать совпадать с тарифом.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Считать месячный тариф ценой за 12 уроков. Начисление ученику = округление до целого сума суммы «тариф × количество оплачиваемых уроков ÷ 12». При смене тарифа в середине месяца сначала сложить точные доли по каждому тарифу и округлить один раз в конце. Например, General group: 450 000 × 8 ÷ 12 = 300 000; за 13 уроков — 487 500. Подтвердите, что это правило действует и для расписаний с частотой не 3 раза в неделю.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2. Доля преподавателя: 40/60 или 40% от доли центра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Исходное описание можно понять двумя способами: преподаватель получает 40% всей чистой выручки группы либо 40% от 60% центра, то есть 24%. Разница существенная.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Для обычных и мини-групп преподаватель получает 40% чистого начисления ученикам, центр — оставшиеся 60%. Для индивидуальных занятий преподаватель получает 50%, центр — 50%. Это не 40% от 60%. Доля преподавателя начисляется независимо от фактической оплаты учеником; остаток округления остаётся центру.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3. Какие уроки оплачивает ученик и за какие уроки начисляется зарплата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Правила для пропуска ученика определены, но нужно закрепить единый результат для отмены, переноса, замены преподавателя и заморозки ученика.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Закрепить матрицу: ученик отсутствует, но урок проведён — начисление ученику и зарплата преподавателю есть; официальный праздник/центр закрыт — обоих начислений нет; преподаватель отменил без отработки — обоих начислений нет; отменённый урок затем отработан — начислить один раз в дату фактически проведённой замены; при замене преподавателя зарплату получает тот, кто фактически провёл урок. Отдельно подтвердите, что происходит с начислением преподавателю за ученика, который был заморожен за долг.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4. Дата выплаты зарплаты преподавателей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Система должна различать заработанную и фактически выплаченную зарплату. В документе дата выплаты не указана.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Закрывать заработок преподавателя за прошлый месяц после финализации счетов 1-го числа. Указать конкретный срок выплаты (например, до 5-го числа) и разрешить менеджеру/суперадмину записать фактическую дату и сумму выплаты.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1"/>
      </w:pPr>
      <w:r>
        <w:t>2. Скидки и изменение формата группы</w:t>
      </w:r>
    </w:p>
    <w:p>
      <w:pPr>
        <w:pStyle w:val="Heading2"/>
        <w:keepNext/>
        <w:spacing w:before="200" w:after="100"/>
      </w:pPr>
      <w:r>
        <w:rPr>
          <w:color w:val="2F75B5"/>
        </w:rPr>
        <w:t>5. Полные правила семейной и реферальной скидки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Определены скидки 10%, но не указаны срок действия, момент подтверждения приглашённого ученика, совместимость скидок и влияние бесплатного месяца на зарплату преподавателя.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Семейная скидка 10% действует каждому ребёнку, пока одновременно активны минимум два ребёнка семьи. Реферальная скидка действует только за месяц, в котором приглашённый ученик впервые внёс оплату: 10% за каждого, максимум 100% за четырёх. Скидки складываются, но общий размер не превышает 100%. Месяц означает месяц проведённых уроков, счёт за который создаётся 1-го числа следующего месяца. По уже согласованному правилу зарплата преподавателя считается с суммы после скидки; следовательно, при 100% скидке доход от этого ученика и доля преподавателя равны нулю. Подтвердите всё правило или укажите отличия.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6. Автоматическое превращение мини-группы в обычную и обратный переход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Указано, что при количестве более четырёх мини-группа становится обычной. Не определено, когда именно меняется цена и должен ли обратный переход происходить автоматически.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При добавлении пятого активного ученика одной операцией изменить тип на обычную группу с даты начала обучения пятого ученика; все последующие уроки всех активных учеников идут по цене обычной группы. До этой даты сохраняется цена мини-группы. Переход обычной группы в мини-группу не делать автоматически при снижении состава до четырёх: менеджер или суперадмин подтверждает его и задаёт дату действия. Превышение 14 активных учеников блокировать.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3. Счета, задолженность и исправления</w:t>
      </w:r>
    </w:p>
    <w:p>
      <w:pPr>
        <w:pStyle w:val="Heading2"/>
        <w:keepNext/>
        <w:spacing w:before="200" w:after="100"/>
      </w:pPr>
      <w:r>
        <w:rPr>
          <w:color w:val="2F75B5"/>
        </w:rPr>
        <w:t>7. Точный срок оплаты и автоматическая заморозка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Фраза «до 10 числа» может означать заморозку 10-го или 11-го числа. Также не определены частичная оплата, автоматическое снятие заморозки и последствия для новых уроков.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Счёт за прошлый месяц финализируется не позднее конца 1-го числа по Asia/Tashkent. Оплатить можно по 10-е число включительно; просрочка и заморозка начинаются 11-го в 00:00. Любой остаток долга считается просрочкой. После полной оплаты всех просроченных счетов система снимает заморозку автоматически. Ресепшен не делает ручное исключение; менеджер/суперадмин могут снять заморозку с обязательной причиной и записью в журнале. Пока ученик заморожен, новые уроки ему не начисляются. Подтвердите, особенно правило при частичной оплате.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8. Можно ли напрямую менять закрытые счета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В одном ответе одновременно запрещено редактирование закрытого счёта и разрешено менеджеру/суперадмину менять закрытые счета. Эти правила несовместимы.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Никому не разрешать прямое изменение или удаление закрытого счёта. Менеджер исправляет только обычной корректировкой/кредитом с причиной; суперадмин дополнительно может сделать полную обратную запись. Исходный счёт всегда остаётся неизменным, а итоговый баланс пересчитывается связанными записями.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9. Переплата, ошибочная запись и правило «возвратов нет»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Отказ от возврата за правильно начисленные уроки понятен, но система всё равно должна обработать ошибку кассира, переплату и уход ученика с положительным балансом.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Не возвращать деньги за правильно начисленные проведённые уроки и пропуски ученика. Ошибочно записанный платёж исправлять обратной записью — это не возврат клиенту. Переплату хранить как аванс и автоматически использовать для следующих счетов. Отдельно ответьте: если ученик окончательно уходит с неиспользованным авансом, деньги возвращаются, остаются центру или решение принимает только суперадмин? Списание долга также разрешать только суперадмину с причиной.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4. Расходы, прибыль, касса и персонал</w:t>
      </w:r>
    </w:p>
    <w:p>
      <w:pPr>
        <w:pStyle w:val="Heading2"/>
        <w:keepNext/>
        <w:spacing w:before="200" w:after="100"/>
      </w:pPr>
      <w:r>
        <w:rPr>
          <w:color w:val="2F75B5"/>
        </w:rPr>
        <w:t>10. Когда начислять регулярные расходы и что считать чистой прибылью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Оплата расходов в конце месяца и прибыль — разные показатели. Если учитывать только выданные деньги, неоплаченная аренда или долг учеников исказят результат.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На последний день месяца автоматически создавать обязательства: аренда 10 500 000, бухгалтер 500 000, Wi-Fi 400 000 и налог 1 050 000 сум; фактическую оплату записывать отдельно. Электричество и газ отдельно не создавать, так как они включены в аренду. На странице показывать два разных показателя: начисленная операционная прибыль и движение/остаток денежных средств. Укажите официальное название налога 1 050 000 сум, получателя и обычную дату оплаты. Для «Другого расхода» требовать категорию, получателя, дату, сумму, комментарий и подтверждающий документ.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11. Оплата будущего ресепшена, помощников и других сотрудников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Для бухгалтера и преподавателей правило есть, но для будущего ресепшена и support teachers сумма пока не определена.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Сейчас создать настраиваемые схемы оплаты и историю их действия, но не назначать выдуманные суммы. Бухгалтера вести как внешнюю услугу 500 000 сум в месяц. Для ресепшена, помощника преподавателя и других должностей суперадмин позже выбирает: фиксированно, за урок, процент или ручное начисление, с датой начала. Подтвердите, что до назначения ставки система не должна автоматически начислять им зарплату.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12. Кто ведёт единственную кассу до появления ресепшена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Согласована одна касса и ежедневное открытие/закрытие, но ресепшена пока нет. Нужен ответственный за реальные наличные уже на первом этапе.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До найма ресепшена кассу открывает и закрывает менеджер. После найма это делает ресепшен, а менеджер подтверждает расхождения и приём денег. Начальный остаток вводится при каждом открытии смены, все квитанции имеют уникальный номер, закрытая смена не редактируется. Укажите, кто именно сейчас физически принимает наличные, если это не менеджер.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5. Роль ресепшена и уведомления</w:t>
      </w:r>
    </w:p>
    <w:p>
      <w:pPr>
        <w:pStyle w:val="Heading2"/>
        <w:keepNext/>
        <w:spacing w:before="200" w:after="100"/>
      </w:pPr>
      <w:r>
        <w:rPr>
          <w:color w:val="2F75B5"/>
        </w:rPr>
        <w:t>13. Временная учётная запись reception и право размораживания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Создание пользователя согласовано, но не указан обязательный сброс временного пароля. Право ручного размораживания также конфликтует с ограниченными финансовыми полномочиями роли.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Создать повторяемым seed-процессом пользователя reception с временным паролем Reception@2025, хранить только защищённый хеш и потребовать смену пароля при первом входе. Ресепшен видит лиды, учеников/родителей, счета, долги, историю платежей, напоминания и свою кассу; создаёт/конвертирует лиды и записывает только наличные платежи. Цены, скидки, счета, расходы, зарплаты и прибыль не меняет. После полной оплаты разморозка автоматическая; ручное исключение — только менеджер/суперадмин. Подтвердите или явно оставьте ресепшену ручное размораживание.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2"/>
        <w:keepNext/>
        <w:spacing w:before="200" w:after="100"/>
      </w:pPr>
      <w:r>
        <w:rPr>
          <w:color w:val="2F75B5"/>
        </w:rPr>
        <w:t>14. Точный график SMS и push-уведомлений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Указаны SMS и push до 10-го числа, но без дат и поставщика SMS. Без этого нельзя надёжно планировать отправку и повторные попытки.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Предлагаемый график: 1-го — новый финализированный счёт; 5-го — напоминание об остатке; 9-го — предупреждение о заморозке; 11-го — уведомление о просрочке/заморозке. Каждое сообщение получают ученик и основной родитель, если у них есть соответствующий канал. До выбора SMS-провайдера реализовать push, внутреннюю очередь звонков ресепшена и журнал доставки; SMS подключить через отдельный адаптер после получения названия провайдера, шаблонов, согласий и ключей. Укажите выбранного SMS-провайдера или подтвердите поэтапный запуск.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6. Окончательное разрешение</w:t>
      </w:r>
    </w:p>
    <w:p>
      <w:pPr>
        <w:pStyle w:val="Heading2"/>
        <w:keepNext/>
        <w:spacing w:before="200" w:after="100"/>
      </w:pPr>
      <w:r>
        <w:rPr>
          <w:color w:val="2F75B5"/>
        </w:rPr>
        <w:t>15. Владелец финансовой политики и разрешение на следующий этап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3F5F7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Почему нужно уточнить: </w:t>
            </w:r>
            <w:r>
              <w:t>В заполненном документе перечислены участники, но не выбраны статусы «Согласовано/Есть замечания», нет подписей и не заполнено разрешение на следующий этап.</w:t>
            </w:r>
          </w:p>
        </w:tc>
      </w:tr>
      <w:tr>
        <w:trPr>
          <w:cantSplit/>
        </w:trPr>
        <w:tc>
          <w:tcPr>
            <w:tcW w:type="dxa" w:w="9978"/>
            <w:shd w:fill="EAF2F8"/>
            <w:tcBorders>
              <w:top w:val="single" w:sz="8" w:color="B8C9D9"/>
              <w:left w:val="single" w:sz="8" w:color="B8C9D9"/>
              <w:bottom w:val="single" w:sz="8" w:color="B8C9D9"/>
              <w:right w:val="single" w:sz="8" w:color="B8C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Рекомендуемый вариант: </w:t>
            </w:r>
            <w:r>
              <w:t>Назначить одного владельца финансовой политики, который окончательно утверждает формулы и ожидаемые результаты тестового месяца. После ответов на пункты 1–14 отдельно написать: «Разрешён аудит текущего приложения и проектирование модели данных» либо перечислить ограничения. Реализацию с реальными деньгами начинать только после аудита, тестов всех контрольных сценариев и отдельного письменного разрешения на запуск.</w:t>
            </w:r>
          </w:p>
        </w:tc>
      </w:tr>
    </w:tbl>
    <w:p>
      <w:pPr>
        <w:keepNext/>
        <w:spacing w:before="100" w:after="40"/>
      </w:pPr>
      <w:r>
        <w:rPr>
          <w:b/>
          <w:color w:val="17365D"/>
        </w:rPr>
        <w:t>Согласованное решение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  <w:vAlign w:val="top"/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Итоговое подтверждение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D9EAF7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494"/>
            <w:shd w:fill="D9EAF7"/>
          </w:tcPr>
          <w:p>
            <w:r>
              <w:rPr>
                <w:b/>
              </w:rPr>
              <w:t>Ф.И.О.</w:t>
            </w:r>
          </w:p>
        </w:tc>
        <w:tc>
          <w:tcPr>
            <w:tcW w:type="dxa" w:w="2494"/>
            <w:shd w:fill="D9EAF7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2494"/>
            <w:shd w:fill="D9EAF7"/>
          </w:tcPr>
          <w:p>
            <w:r>
              <w:rPr>
                <w:b/>
              </w:rPr>
              <w:t>Дата / подпись</w:t>
            </w:r>
          </w:p>
        </w:tc>
      </w:tr>
      <w:tr>
        <w:tc>
          <w:tcPr>
            <w:tcW w:type="dxa" w:w="2494"/>
            <w:vAlign w:val="center"/>
          </w:tcPr>
          <w:p>
            <w:r>
              <w:t>Владелец финансовой политики</w:t>
            </w:r>
          </w:p>
        </w:tc>
        <w:tc>
          <w:tcPr>
            <w:tcW w:type="dxa" w:w="2494"/>
            <w:vAlign w:val="center"/>
          </w:tcPr>
          <w:p>
            <w:r/>
          </w:p>
        </w:tc>
        <w:tc>
          <w:tcPr>
            <w:tcW w:type="dxa" w:w="2494"/>
            <w:vAlign w:val="center"/>
          </w:tcPr>
          <w:p>
            <w:r>
              <w:t>Согласовано / Есть замечания</w:t>
            </w:r>
          </w:p>
        </w:tc>
        <w:tc>
          <w:tcPr>
            <w:tcW w:type="dxa" w:w="2494"/>
            <w:vAlign w:val="center"/>
          </w:tcPr>
          <w:p>
            <w:r/>
          </w:p>
        </w:tc>
      </w:tr>
      <w:tr>
        <w:tc>
          <w:tcPr>
            <w:tcW w:type="dxa" w:w="2494"/>
            <w:vAlign w:val="center"/>
          </w:tcPr>
          <w:p>
            <w:r>
              <w:t>Суперадмин</w:t>
            </w:r>
          </w:p>
        </w:tc>
        <w:tc>
          <w:tcPr>
            <w:tcW w:type="dxa" w:w="2494"/>
            <w:vAlign w:val="center"/>
          </w:tcPr>
          <w:p>
            <w:r/>
          </w:p>
        </w:tc>
        <w:tc>
          <w:tcPr>
            <w:tcW w:type="dxa" w:w="2494"/>
            <w:vAlign w:val="center"/>
          </w:tcPr>
          <w:p>
            <w:r>
              <w:t>Согласовано / Есть замечания</w:t>
            </w:r>
          </w:p>
        </w:tc>
        <w:tc>
          <w:tcPr>
            <w:tcW w:type="dxa" w:w="2494"/>
            <w:vAlign w:val="center"/>
          </w:tcPr>
          <w:p>
            <w:r/>
          </w:p>
        </w:tc>
      </w:tr>
      <w:tr>
        <w:tc>
          <w:tcPr>
            <w:tcW w:type="dxa" w:w="2494"/>
            <w:vAlign w:val="center"/>
          </w:tcPr>
          <w:p>
            <w:r>
              <w:t>Менеджер</w:t>
            </w:r>
          </w:p>
        </w:tc>
        <w:tc>
          <w:tcPr>
            <w:tcW w:type="dxa" w:w="2494"/>
            <w:vAlign w:val="center"/>
          </w:tcPr>
          <w:p>
            <w:r/>
          </w:p>
        </w:tc>
        <w:tc>
          <w:tcPr>
            <w:tcW w:type="dxa" w:w="2494"/>
            <w:vAlign w:val="center"/>
          </w:tcPr>
          <w:p>
            <w:r>
              <w:t>Согласовано / Есть замечания</w:t>
            </w:r>
          </w:p>
        </w:tc>
        <w:tc>
          <w:tcPr>
            <w:tcW w:type="dxa" w:w="2494"/>
            <w:vAlign w:val="center"/>
          </w:tcPr>
          <w:p>
            <w:r/>
          </w:p>
        </w:tc>
      </w:tr>
      <w:tr>
        <w:tc>
          <w:tcPr>
            <w:tcW w:type="dxa" w:w="2494"/>
            <w:vAlign w:val="center"/>
          </w:tcPr>
          <w:p>
            <w:r>
              <w:t>Бухгалтер</w:t>
            </w:r>
          </w:p>
        </w:tc>
        <w:tc>
          <w:tcPr>
            <w:tcW w:type="dxa" w:w="2494"/>
            <w:vAlign w:val="center"/>
          </w:tcPr>
          <w:p>
            <w:r/>
          </w:p>
        </w:tc>
        <w:tc>
          <w:tcPr>
            <w:tcW w:type="dxa" w:w="2494"/>
            <w:vAlign w:val="center"/>
          </w:tcPr>
          <w:p>
            <w:r>
              <w:t>Согласовано / Есть замечания</w:t>
            </w:r>
          </w:p>
        </w:tc>
        <w:tc>
          <w:tcPr>
            <w:tcW w:type="dxa" w:w="2494"/>
            <w:vAlign w:val="center"/>
          </w:tcPr>
          <w:p>
            <w:r/>
          </w:p>
        </w:tc>
      </w:tr>
      <w:tr>
        <w:tc>
          <w:tcPr>
            <w:tcW w:type="dxa" w:w="2494"/>
            <w:vAlign w:val="center"/>
          </w:tcPr>
          <w:p>
            <w:r>
              <w:t>Представитель преподавателей</w:t>
            </w:r>
          </w:p>
        </w:tc>
        <w:tc>
          <w:tcPr>
            <w:tcW w:type="dxa" w:w="2494"/>
            <w:vAlign w:val="center"/>
          </w:tcPr>
          <w:p>
            <w:r/>
          </w:p>
        </w:tc>
        <w:tc>
          <w:tcPr>
            <w:tcW w:type="dxa" w:w="2494"/>
            <w:vAlign w:val="center"/>
          </w:tcPr>
          <w:p>
            <w:r>
              <w:t>Согласовано / Есть замечания</w:t>
            </w:r>
          </w:p>
        </w:tc>
        <w:tc>
          <w:tcPr>
            <w:tcW w:type="dxa" w:w="2494"/>
            <w:vAlign w:val="center"/>
          </w:tcPr>
          <w:p>
            <w:r/>
          </w:p>
        </w:tc>
      </w:tr>
    </w:tbl>
    <w:p/>
    <w:p>
      <w:r>
        <w:rPr>
          <w:b/>
          <w:color w:val="2F75B5"/>
          <w:sz w:val="26"/>
        </w:rPr>
        <w:t>Разрешение на следующий этап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10" w:color="9FBAD0"/>
              <w:left w:val="single" w:sz="10" w:color="9FBAD0"/>
              <w:bottom w:val="single" w:sz="10" w:color="9FBAD0"/>
              <w:right w:val="single" w:sz="10" w:color="9FBAD0"/>
            </w:tcBorders>
          </w:tcPr>
          <w:p>
            <w:r>
              <w:t>Статус:  ☐ Все уточнения приняты   ☐ Остались открытые вопросы   ☐ Нужна новая встреча</w:t>
              <w:br/>
              <w:br/>
              <w:t>Разрешение / ограничения:</w:t>
              <w:br/>
              <w:br/>
              <w:br/>
              <w:br/>
              <w:t>Ответственный: ____________________   Дата: __________   Подпись: 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88A"/>
        <w:sz w:val="16"/>
      </w:rPr>
      <w:t>NURIKS ACADEMY  |  Уточнение финансовых правил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