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D92B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1FB236BC">
      <w:pPr>
        <w:jc w:val="center"/>
      </w:pPr>
      <w:r>
        <w:rPr>
          <w:rFonts w:hint="eastAsia"/>
          <w:b/>
          <w:bCs/>
          <w:sz w:val="32"/>
          <w:szCs w:val="40"/>
        </w:rPr>
        <w:t>地理一生一案个性化学业提升方案</w:t>
      </w:r>
    </w:p>
    <w:p w14:paraId="56F89DC9">
      <w:pPr>
        <w:rPr>
          <w:rFonts w:eastAsia="宋体"/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 w:ascii="宋体" w:hAnsi="宋体" w:eastAsia="宋体" w:cs="宋体"/>
          <w:sz w:val="24"/>
        </w:rPr>
        <w:t>赵佑林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75"/>
        <w:gridCol w:w="7890"/>
        <w:gridCol w:w="638"/>
      </w:tblGrid>
      <w:tr w14:paraId="6193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35DC56A9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790A5A7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分项要点</w:t>
            </w:r>
          </w:p>
        </w:tc>
        <w:tc>
          <w:tcPr>
            <w:tcW w:w="7890" w:type="dxa"/>
            <w:shd w:val="clear" w:color="auto" w:fill="CFCECE" w:themeFill="background2" w:themeFillShade="E5"/>
          </w:tcPr>
          <w:p w14:paraId="0351FB7F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具体要求与内容指南</w:t>
            </w:r>
          </w:p>
        </w:tc>
        <w:tc>
          <w:tcPr>
            <w:tcW w:w="638" w:type="dxa"/>
            <w:shd w:val="clear" w:color="auto" w:fill="CFCECE" w:themeFill="background2" w:themeFillShade="E5"/>
          </w:tcPr>
          <w:p w14:paraId="50BC906A">
            <w:pPr>
              <w:spacing w:line="360" w:lineRule="auto"/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备注</w:t>
            </w:r>
          </w:p>
        </w:tc>
      </w:tr>
      <w:tr w14:paraId="0D3C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657" w:type="dxa"/>
            <w:vMerge w:val="restart"/>
          </w:tcPr>
          <w:p w14:paraId="458B951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精准诊断与</w:t>
            </w:r>
          </w:p>
          <w:p w14:paraId="5ECAFC58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归因分析</w:t>
            </w:r>
          </w:p>
        </w:tc>
        <w:tc>
          <w:tcPr>
            <w:tcW w:w="675" w:type="dxa"/>
          </w:tcPr>
          <w:p w14:paraId="6935E14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学科问题定位</w:t>
            </w:r>
          </w:p>
        </w:tc>
        <w:tc>
          <w:tcPr>
            <w:tcW w:w="7890" w:type="dxa"/>
          </w:tcPr>
          <w:p w14:paraId="330357B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区域地理：区域定位精准度不足，对不同区域的自然地理特征、人文地理差异及区域可持续发展问题的分析深度不够，难以将区域地理环境与地理原理有机结合；</w:t>
            </w:r>
          </w:p>
          <w:p w14:paraId="7E0F8D21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图表题（等值线图、统计图、区域地图等）：图表解读能力薄弱，不能快速从图表中提取有效信息，对图表数据的分析、归纳和推理能力不足，易因信息解读失误丢分；</w:t>
            </w:r>
          </w:p>
        </w:tc>
        <w:tc>
          <w:tcPr>
            <w:tcW w:w="638" w:type="dxa"/>
          </w:tcPr>
          <w:p w14:paraId="5BE19D3E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0B09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6FE8CE5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291C6632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CD32D43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5BCCAB49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原因剖析</w:t>
            </w:r>
          </w:p>
          <w:p w14:paraId="5E28F84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0D27DE59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区域认知能力不足：对世界和中国主要区域的地理特征记忆不牢固，区域定位方法单一，不能快速通过经纬度、海陆轮廓、典型地理事物等关键信息锁定区域；</w:t>
            </w:r>
          </w:p>
          <w:p w14:paraId="7C5FA8C9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信息提取与综合分析能力薄弱：阅读地理材料、图表时缺乏针对性，不能精准抓取核心信息，且难以将提取的信息与教材知识点、地理原理结合进行综合分析，导致答案偏离得分点；</w:t>
            </w:r>
          </w:p>
          <w:p w14:paraId="45BD5448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答题规范意识不足：答题时语言表述不严谨、不专业，要点不分、逻辑混乱，易因格式不规范、关键词缺失导致失分。</w:t>
            </w:r>
          </w:p>
        </w:tc>
        <w:tc>
          <w:tcPr>
            <w:tcW w:w="638" w:type="dxa"/>
          </w:tcPr>
          <w:p w14:paraId="34E8A60E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2A4F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5EDE9906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560B3BF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91504DE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目标确立</w:t>
            </w:r>
          </w:p>
          <w:p w14:paraId="3ABAD6A7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与强化方向</w:t>
            </w:r>
          </w:p>
        </w:tc>
        <w:tc>
          <w:tcPr>
            <w:tcW w:w="675" w:type="dxa"/>
          </w:tcPr>
          <w:p w14:paraId="1ED43455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奋斗目标</w:t>
            </w:r>
          </w:p>
        </w:tc>
        <w:tc>
          <w:tcPr>
            <w:tcW w:w="7890" w:type="dxa"/>
          </w:tcPr>
          <w:p w14:paraId="53200B6D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65～75</w:t>
            </w:r>
          </w:p>
        </w:tc>
        <w:tc>
          <w:tcPr>
            <w:tcW w:w="638" w:type="dxa"/>
            <w:vMerge w:val="restart"/>
          </w:tcPr>
          <w:p w14:paraId="7A5A882D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0A3E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557B5DFC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0E6840C9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高考要求</w:t>
            </w:r>
          </w:p>
        </w:tc>
        <w:tc>
          <w:tcPr>
            <w:tcW w:w="7890" w:type="dxa"/>
          </w:tcPr>
          <w:p w14:paraId="67C0CD11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熟练掌握必修一、必修二、必修三及区域地理核心知识点，构建完整的地理知识体系，实现知识的灵活迁移与综合应用；</w:t>
            </w:r>
          </w:p>
          <w:p w14:paraId="316F75A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具备较强的区域认知能力：能快速精准定位区域，全面分析区域自然与人文地理特征，结合地理原理探讨区域可持续发展问题；</w:t>
            </w:r>
          </w:p>
          <w:p w14:paraId="644CE59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提升地理核心素养：包括综合思维（多角度、多层次分析地理问题）、人地协调观（结合实际案例分析人类活动与地理环境的关系）、地理实践力（运用地理知识解决实际问题）；</w:t>
            </w:r>
          </w:p>
        </w:tc>
        <w:tc>
          <w:tcPr>
            <w:tcW w:w="638" w:type="dxa"/>
            <w:vMerge w:val="continue"/>
          </w:tcPr>
          <w:p w14:paraId="6C7D03A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2452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657" w:type="dxa"/>
            <w:vMerge w:val="continue"/>
          </w:tcPr>
          <w:p w14:paraId="49567F91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3607B070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具体强化</w:t>
            </w:r>
          </w:p>
        </w:tc>
        <w:tc>
          <w:tcPr>
            <w:tcW w:w="7890" w:type="dxa"/>
          </w:tcPr>
          <w:p w14:paraId="00D32FBE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基础原理巩固：聚焦自然地理核心原理（地球运动、大气环流、地质作用等）和人文地理核心概念，进行专项梳理与深度理解，构建知识网络；</w:t>
            </w:r>
          </w:p>
          <w:p w14:paraId="02E4F5D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解题方法专项突破：针对计算类、区位分析类、图表解读类、区域综合分析类题型，总结专项解题技巧与答题模板，规范解题思路；</w:t>
            </w:r>
          </w:p>
          <w:p w14:paraId="04BB2E17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区域认知深化：强化世界与中国主要区域的地理特征记忆，掌握多种区域定位方法，提升区域地理环境与地理原理的结合分析能力；</w:t>
            </w:r>
          </w:p>
        </w:tc>
        <w:tc>
          <w:tcPr>
            <w:tcW w:w="638" w:type="dxa"/>
            <w:vMerge w:val="continue"/>
          </w:tcPr>
          <w:p w14:paraId="55040A0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5C2C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729E2AC3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59DA32FE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429FDE5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具体措施</w:t>
            </w:r>
          </w:p>
        </w:tc>
        <w:tc>
          <w:tcPr>
            <w:tcW w:w="675" w:type="dxa"/>
          </w:tcPr>
          <w:p w14:paraId="0A405F90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D03C48D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任务清单</w:t>
            </w:r>
          </w:p>
        </w:tc>
        <w:tc>
          <w:tcPr>
            <w:tcW w:w="7890" w:type="dxa"/>
          </w:tcPr>
          <w:p w14:paraId="547707E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自然地理类：自然地理核心原理专项讲义、高考真题分类汇编（每日 1 个原理微专题，如地球运动计算、大气环流成因分析，配套 6-8 道精准练习题；每周 2 道地质作用、气候类型相关综合题，强化原理应用）；</w:t>
            </w:r>
          </w:p>
          <w:p w14:paraId="7DC97A2B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人文地理类：人文地理区位分析答题模板、热点案例集（每周梳理 1 个区位分析模块，如农业区位、工业区位，总结核心影响因素与答题要点；每日 1 个热点案例分析，如新型城镇化、乡村振兴，结合模板规范答题）；</w:t>
            </w:r>
          </w:p>
        </w:tc>
        <w:tc>
          <w:tcPr>
            <w:tcW w:w="638" w:type="dxa"/>
            <w:vMerge w:val="restart"/>
          </w:tcPr>
          <w:p w14:paraId="4A654F8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7101DAA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B29E6E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299D21D8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1C35DEEC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0C0F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5249665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4DBFE05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76100732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具体时间安排</w:t>
            </w:r>
          </w:p>
        </w:tc>
        <w:tc>
          <w:tcPr>
            <w:tcW w:w="7890" w:type="dxa"/>
          </w:tcPr>
          <w:p w14:paraId="3DB6834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早读（30 分钟）：15 分钟核心概念与地理原理背诵，10 分钟区域地理特征记忆（结合空白图），5 分钟 “基础纠错本” 复盘；</w:t>
            </w:r>
          </w:p>
          <w:p w14:paraId="2D6D610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课堂（45 分钟）：专注听讲，记录核心解题技巧与知识拓展点，参与课堂互动练习（8-10 题），重点针对自然地理原理、图表解读等易错点提问反馈；</w:t>
            </w:r>
          </w:p>
          <w:p w14:paraId="69D517E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晚自习（60 分钟）：30 分钟专项训练（按自然地理、人文地理、区域地理、图表题顺序轮换），20 分钟错题整理（标注错因、改进方法，补充相关知识点），10 分钟当日知识点复盘；</w:t>
            </w:r>
          </w:p>
        </w:tc>
        <w:tc>
          <w:tcPr>
            <w:tcW w:w="638" w:type="dxa"/>
            <w:vMerge w:val="continue"/>
          </w:tcPr>
          <w:p w14:paraId="17B284B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5C2A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2D414687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61F072D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F155718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989C958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07BAFB04">
            <w:pPr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督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查</w:t>
            </w:r>
            <w:r>
              <w:rPr>
                <w:rFonts w:hint="eastAsia" w:ascii="宋体" w:hAnsi="宋体" w:eastAsia="宋体" w:cs="宋体"/>
                <w:szCs w:val="21"/>
              </w:rPr>
              <w:t>与</w:t>
            </w:r>
          </w:p>
          <w:p w14:paraId="0A5B693C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反馈</w:t>
            </w:r>
          </w:p>
        </w:tc>
        <w:tc>
          <w:tcPr>
            <w:tcW w:w="675" w:type="dxa"/>
          </w:tcPr>
          <w:p w14:paraId="4853EC8A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78292206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学生自查</w:t>
            </w:r>
          </w:p>
          <w:p w14:paraId="7A975EC2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07672A6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课前：预习新课核心原理、区域地理特征，标记易混点与疑问点；</w:t>
            </w:r>
          </w:p>
          <w:p w14:paraId="6D2424C4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课中：保持专注，主动参与课堂讨论与思维训练，针对不懂的知识点及时提问；</w:t>
            </w:r>
          </w:p>
          <w:p w14:paraId="5B860768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课后：按时完成作业与专项训练，每日默写检测 1个核心概念 + </w:t>
            </w:r>
            <w:r>
              <w:rPr>
                <w:rFonts w:ascii="宋体" w:hAnsi="宋体" w:eastAsia="宋体" w:cs="宋体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Cs w:val="21"/>
              </w:rPr>
              <w:t>个地理原理，每周复盘 “基础纠错本” 和 “综合题答题纠错本”；</w:t>
            </w:r>
          </w:p>
        </w:tc>
        <w:tc>
          <w:tcPr>
            <w:tcW w:w="638" w:type="dxa"/>
            <w:vMerge w:val="restart"/>
          </w:tcPr>
          <w:p w14:paraId="501BB670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100A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FC1F23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46CE4505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6291F84E">
            <w:pPr>
              <w:jc w:val="left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教师督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C9C9337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7B0A2543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每节课随机抽查 1个核心概念 + </w:t>
            </w:r>
            <w:r>
              <w:rPr>
                <w:rFonts w:ascii="宋体" w:hAnsi="宋体" w:eastAsia="宋体" w:cs="宋体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Cs w:val="21"/>
              </w:rPr>
              <w:t>个地理原理；批改作业和训练时，重点标注知识点漏洞、答题规范问题与高分优化点，每周至少 1 次 1 对 1 精细化辅导（聚焦自然地理原理应用、综合题答题逻辑）；落实每周三下午热点案例分析训练，对综合题进行 “逐点批改 + 优化建议”；</w:t>
            </w:r>
          </w:p>
        </w:tc>
        <w:tc>
          <w:tcPr>
            <w:tcW w:w="638" w:type="dxa"/>
            <w:vMerge w:val="continue"/>
          </w:tcPr>
          <w:p w14:paraId="67BACEDB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  <w:tr w14:paraId="64C9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1CF96B61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675" w:type="dxa"/>
          </w:tcPr>
          <w:p w14:paraId="5C3DC4BF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  <w:p w14:paraId="349F2E5F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校长检查</w:t>
            </w:r>
          </w:p>
          <w:p w14:paraId="020D4E62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7890" w:type="dxa"/>
          </w:tcPr>
          <w:p w14:paraId="35E692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 10 日前：查阅《月度督查反馈报告》，核实学生思想转变、目标落实及知识提升情况。</w:t>
            </w:r>
          </w:p>
          <w:p w14:paraId="57920381"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每月中旬：随机与学生面谈，了解其学习心态、目标认知及方案执行情况，提出指导性意见。</w:t>
            </w:r>
          </w:p>
        </w:tc>
        <w:tc>
          <w:tcPr>
            <w:tcW w:w="638" w:type="dxa"/>
            <w:vMerge w:val="continue"/>
          </w:tcPr>
          <w:p w14:paraId="60725764">
            <w:pPr>
              <w:jc w:val="left"/>
              <w:rPr>
                <w:rFonts w:ascii="宋体" w:hAnsi="宋体" w:eastAsia="宋体" w:cs="宋体"/>
                <w:szCs w:val="21"/>
              </w:rPr>
            </w:pPr>
          </w:p>
        </w:tc>
      </w:tr>
    </w:tbl>
    <w:p w14:paraId="02CD984F">
      <w:pPr>
        <w:jc w:val="left"/>
        <w:rPr>
          <w:rFonts w:ascii="宋体" w:hAnsi="宋体" w:eastAsia="宋体" w:cs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3A852"/>
    <w:multiLevelType w:val="singleLevel"/>
    <w:tmpl w:val="2813A8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0DB"/>
    <w:rsid w:val="00380D11"/>
    <w:rsid w:val="004A70DB"/>
    <w:rsid w:val="005068B3"/>
    <w:rsid w:val="06054E6A"/>
    <w:rsid w:val="1EEE3041"/>
    <w:rsid w:val="2D743E11"/>
    <w:rsid w:val="31966AA8"/>
    <w:rsid w:val="34E171F0"/>
    <w:rsid w:val="40700E0B"/>
    <w:rsid w:val="468E6752"/>
    <w:rsid w:val="4D2C029D"/>
    <w:rsid w:val="5BFA20C6"/>
    <w:rsid w:val="5D7F058E"/>
    <w:rsid w:val="5DFC1660"/>
    <w:rsid w:val="61037FEB"/>
    <w:rsid w:val="66EA7C93"/>
    <w:rsid w:val="776B1A89"/>
    <w:rsid w:val="7B5A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1554</Words>
  <Characters>1571</Characters>
  <Lines>11</Lines>
  <Paragraphs>3</Paragraphs>
  <TotalTime>0</TotalTime>
  <ScaleCrop>false</ScaleCrop>
  <LinksUpToDate>false</LinksUpToDate>
  <CharactersWithSpaces>1615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2026-02-08T01:07:47Z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