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学生姓名：金楠喆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660"/>
        <w:gridCol w:w="7890"/>
        <w:gridCol w:w="510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60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890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510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800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60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890" w:type="dxa"/>
          </w:tcPr>
          <w:p w14:paraId="43E56D6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1.信息类文本阅读不会写</w:t>
            </w:r>
          </w:p>
          <w:p w14:paraId="7D0A3C52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核心概念，比如“逻辑范式”“审美建构”理解模糊，抓不住内涵外延；分不清观点与论据，不知道段落内部是总分、因果还是对比，读完不知段落重点；只关注零散细节，无法整合全文核心话题、作者立场与写作意图。</w:t>
            </w:r>
          </w:p>
          <w:p w14:paraId="6B521A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2.文言文薄弱</w:t>
            </w:r>
          </w:p>
          <w:p w14:paraId="60A27358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读不懂文章，人物、事件理不清；短句完全靠语感；翻译只译大意，抓不住得分点，丢分严重；文化常识存在很大盲区；概括分析题看不懂、找不准。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3.作文不会写、缺素材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立意不准，抓不住材料核心，中心论点不明确；结构混乱，段落之间没有并列、递进、对比等逻辑关系；缺少素材，且不会分析，素材与论点脱节。</w:t>
            </w:r>
          </w:p>
        </w:tc>
        <w:tc>
          <w:tcPr>
            <w:tcW w:w="510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</w:tcPr>
          <w:p w14:paraId="2CF28CC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CF4D3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90" w:type="dxa"/>
          </w:tcPr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</w:t>
            </w:r>
          </w:p>
          <w:p w14:paraId="43FB663C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阅读过程中不抓关键词，只是大致浏览；不分析内容逻辑，被动接收信息；对信息类文本的论证结构、逻辑关系（因果、递进、转折）不熟悉；语法知识欠缺，不会拆解长难句；追求速度不重质量，读一遍就做题，遇到卡顿不回读，导致理解偏差。</w:t>
            </w:r>
          </w:p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721499D8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基础不扎实，高频词、词类活用、古今异义没掌握；18个虚词用法记不全、记不准；特殊句式识别能力弱；翻译不会找得分点，没掌握翻译方法等。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不会抓材料关键词、矛盾点、价值导向；不会辩证看问题，也不会从个人→社会→国家/时代层面升级；素材储备不足，考试时反复用“老几样”素材；缺乏逻辑思维，不会分角度、分层次进行论证。</w:t>
            </w:r>
          </w:p>
        </w:tc>
        <w:tc>
          <w:tcPr>
            <w:tcW w:w="510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8CF1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6390036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60" w:type="dxa"/>
          </w:tcPr>
          <w:p w14:paraId="46A4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890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冲100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1.信息类文本阅读争取拿14分（满分19分）。</w:t>
            </w:r>
          </w:p>
          <w:p w14:paraId="66F095B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2.文言文阅读争取拿到12—15分（满分20—22分）。</w:t>
            </w:r>
          </w:p>
          <w:p w14:paraId="07C6605E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3.作文力争拿到46分（满分60分）。</w:t>
            </w:r>
          </w:p>
        </w:tc>
        <w:tc>
          <w:tcPr>
            <w:tcW w:w="510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890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vertAlign w:val="baseline"/>
                <w:lang w:val="en-US" w:eastAsia="zh-CN"/>
              </w:rPr>
              <w:t>读懂概念与观点，理清结构与逻辑，精准筛选与比对，合理推断与评价。</w:t>
            </w:r>
          </w:p>
          <w:p w14:paraId="72BFEDFA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2.文言文阅读：实词虚词打基础，断句翻译抓标志，概括分析重比对，课内迁移是关键，文化常识广积累。</w:t>
            </w:r>
          </w:p>
          <w:p w14:paraId="5EEAE94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3.作文：立意准、结构清、论证实、素材新、语言亮，议论文就不会写崩。</w:t>
            </w:r>
          </w:p>
        </w:tc>
        <w:tc>
          <w:tcPr>
            <w:tcW w:w="510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</w:tcPr>
          <w:p w14:paraId="75F4B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09A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890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</w:t>
            </w:r>
          </w:p>
          <w:p w14:paraId="0026CFBC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阅读过程中圈画关键词句，每段用1-2个词概括段意，全文梳理“核心话题—分论点—论据—结论”，画简易思维导图；定位原文中概念的定义、解释、举例，用“是什么—不是什么—有什么特点”梳理，避免混淆相似概念。</w:t>
            </w:r>
          </w:p>
          <w:p w14:paraId="0B72282C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436C39F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整理高频多义实词（100个左右），按“本义→引申义→语境义”梳理，配课内例句；聚焦18个虚词，每个虚词整理3–5个常见用法+课内例句，形成“用法—标志—例句”模板；掌握四类特殊句式+固定结构；掌握翻译方法：“六字诀+踩点法”。</w:t>
            </w:r>
          </w:p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4D3D7644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+立意三步法：抓核心，圈材料关键词、对象、事件、结果、评价倾向；定角度，个人/社会/国家；历史/现实/未来；物质/精神；现象/本质；亮观点，用一句话写出中心论点（判断句、肯定句、有态度）。并列式、递进式、对照式，至少掌握论证方式，并大量练习；建立“素材库”，分类整理（每类5–10个），并进行一材多用训练，同一个素材，从不同角度改写，适应不同论点。</w:t>
            </w:r>
          </w:p>
        </w:tc>
        <w:tc>
          <w:tcPr>
            <w:tcW w:w="510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2478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46CB3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C3549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60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ED714F6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A1AFD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890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1.信息类文本阅读</w:t>
            </w:r>
          </w:p>
          <w:p w14:paraId="0ED794D4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阅读时抓标题、首尾段、中心句，限时口述核心话题+作者立场；精准标注论点、论据、限定词、代词等；划分段落层次，写清段间关系。</w:t>
            </w:r>
          </w:p>
          <w:p w14:paraId="3428A2B0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539C06D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掌握100个重点实词，聚焦18个虚词，掌握四类特殊句式，熟练运用掌握翻译方法：“六字诀+踩点法”。</w:t>
            </w:r>
          </w:p>
          <w:p w14:paraId="25C7B2D1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59B962F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审题立意训练；积累作文素材，形成作文素材库；标准议论段训练；熟练3种高分结构（并列式/递进式/对比式）。</w:t>
            </w:r>
          </w:p>
        </w:tc>
        <w:tc>
          <w:tcPr>
            <w:tcW w:w="510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F32180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D0462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62D380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890" w:type="dxa"/>
          </w:tcPr>
          <w:p w14:paraId="649618D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早读：背诵5个重点实词、1个虚词、1个特殊句式；背诵1-2则作文素材。</w:t>
            </w:r>
          </w:p>
          <w:p w14:paraId="6F9F5CFC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自习：每周完成3篇信息类文本阅读：文言文翻译：每天2-3句，每题控制在3-5分钟，强制圈画采分点；每天1则材料，只写“3个立意+1个最佳中心论点”，10分钟完成。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周末：复盘本周训练的信息类文本阅读、文言文阅读题，分析错误原因，总结方法规律。每周1篇整篇限时作文，45—50分钟完成，并进行作文升格修改。</w:t>
            </w:r>
          </w:p>
        </w:tc>
        <w:tc>
          <w:tcPr>
            <w:tcW w:w="510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D36D7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60" w:type="dxa"/>
            <w:vAlign w:val="top"/>
          </w:tcPr>
          <w:p w14:paraId="678C2AEE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3621E1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46080D9D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90" w:type="dxa"/>
            <w:vAlign w:val="top"/>
          </w:tcPr>
          <w:p w14:paraId="39A40C8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5382271C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2128377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510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1C38365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034B5F6B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90" w:type="dxa"/>
            <w:vAlign w:val="top"/>
          </w:tcPr>
          <w:p w14:paraId="5652B2F6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7C8C4A64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4FA88265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510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0" w:type="dxa"/>
            <w:vAlign w:val="top"/>
          </w:tcPr>
          <w:p w14:paraId="78C77EE7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4C951161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90" w:type="dxa"/>
            <w:vAlign w:val="top"/>
          </w:tcPr>
          <w:p w14:paraId="490791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1868CF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298B267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510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6FEB500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B3213"/>
    <w:rsid w:val="03A14C22"/>
    <w:rsid w:val="0B141621"/>
    <w:rsid w:val="13F11E83"/>
    <w:rsid w:val="18182F60"/>
    <w:rsid w:val="1EEE3041"/>
    <w:rsid w:val="22606C0B"/>
    <w:rsid w:val="30337C84"/>
    <w:rsid w:val="40DC64F0"/>
    <w:rsid w:val="44764379"/>
    <w:rsid w:val="4B0340D0"/>
    <w:rsid w:val="4D2C029D"/>
    <w:rsid w:val="52534375"/>
    <w:rsid w:val="5702102C"/>
    <w:rsid w:val="5EB15835"/>
    <w:rsid w:val="61037FEB"/>
    <w:rsid w:val="66EA7C93"/>
    <w:rsid w:val="6D0E11BE"/>
    <w:rsid w:val="70BF7C65"/>
    <w:rsid w:val="71324286"/>
    <w:rsid w:val="741E493D"/>
    <w:rsid w:val="776B1A89"/>
    <w:rsid w:val="7CB7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1876</Words>
  <Characters>1940</Characters>
  <Lines>0</Lines>
  <Paragraphs>0</Paragraphs>
  <TotalTime>2</TotalTime>
  <ScaleCrop>false</ScaleCrop>
  <LinksUpToDate>false</LinksUpToDate>
  <CharactersWithSpaces>1941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