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E30CF">
      <w:pPr>
        <w:jc w:val="center"/>
        <w:rPr>
          <w:rFonts w:hint="eastAsia"/>
          <w:b/>
          <w:bCs/>
          <w:sz w:val="32"/>
          <w:szCs w:val="40"/>
          <w:lang w:val="en-US" w:eastAsia="zh-CN"/>
        </w:rPr>
      </w:pPr>
      <w:r>
        <w:rPr>
          <w:rFonts w:hint="eastAsia"/>
          <w:b/>
          <w:bCs/>
          <w:sz w:val="32"/>
          <w:szCs w:val="40"/>
          <w:lang w:val="en-US" w:eastAsia="zh-CN"/>
        </w:rPr>
        <w:t>易飞特菁英全日制学校</w:t>
      </w:r>
    </w:p>
    <w:p w14:paraId="7C4A0EAA">
      <w:pPr>
        <w:jc w:val="center"/>
        <w:rPr>
          <w:rFonts w:hint="eastAsia"/>
          <w:b/>
          <w:bCs/>
          <w:sz w:val="32"/>
          <w:szCs w:val="40"/>
          <w:lang w:val="en-US" w:eastAsia="zh-CN"/>
        </w:rPr>
      </w:pPr>
      <w:r>
        <w:rPr>
          <w:rFonts w:hint="eastAsia"/>
          <w:b/>
          <w:bCs/>
          <w:sz w:val="32"/>
          <w:szCs w:val="40"/>
          <w:lang w:val="en-US" w:eastAsia="zh-CN"/>
        </w:rPr>
        <w:t>历史 一生一案个性化学业提升方案</w:t>
      </w:r>
    </w:p>
    <w:p w14:paraId="06A8C8B7">
      <w:pPr>
        <w:rPr>
          <w:rFonts w:hint="default"/>
          <w:sz w:val="24"/>
          <w:szCs w:val="24"/>
          <w:lang w:val="en-US" w:eastAsia="zh-CN"/>
        </w:rPr>
      </w:pPr>
      <w:r>
        <w:rPr>
          <w:rFonts w:hint="eastAsia"/>
          <w:sz w:val="24"/>
          <w:szCs w:val="24"/>
          <w:lang w:val="en-US" w:eastAsia="zh-CN"/>
        </w:rPr>
        <w:t>学生姓名：郑珂轩</w:t>
      </w:r>
    </w:p>
    <w:tbl>
      <w:tblPr>
        <w:tblStyle w:val="3"/>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705"/>
        <w:gridCol w:w="8077"/>
        <w:gridCol w:w="353"/>
      </w:tblGrid>
      <w:tr w14:paraId="3453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shd w:val="clear" w:color="auto" w:fill="CFCECE" w:themeFill="background2" w:themeFillShade="E5"/>
          </w:tcPr>
          <w:p w14:paraId="0A7400EF">
            <w:pPr>
              <w:jc w:val="center"/>
              <w:rPr>
                <w:rFonts w:hint="default"/>
                <w:sz w:val="21"/>
                <w:szCs w:val="21"/>
                <w:vertAlign w:val="baseline"/>
                <w:lang w:val="en-US" w:eastAsia="zh-CN"/>
              </w:rPr>
            </w:pPr>
            <w:r>
              <w:rPr>
                <w:rFonts w:hint="eastAsia"/>
                <w:sz w:val="21"/>
                <w:szCs w:val="21"/>
                <w:vertAlign w:val="baseline"/>
                <w:lang w:val="en-US" w:eastAsia="zh-CN"/>
              </w:rPr>
              <w:t>核心板块</w:t>
            </w:r>
          </w:p>
        </w:tc>
        <w:tc>
          <w:tcPr>
            <w:tcW w:w="705" w:type="dxa"/>
            <w:shd w:val="clear" w:color="auto" w:fill="CFCECE" w:themeFill="background2" w:themeFillShade="E5"/>
          </w:tcPr>
          <w:p w14:paraId="076005FE">
            <w:pPr>
              <w:jc w:val="center"/>
              <w:rPr>
                <w:rFonts w:hint="default"/>
                <w:sz w:val="21"/>
                <w:szCs w:val="21"/>
                <w:vertAlign w:val="baseline"/>
                <w:lang w:val="en-US" w:eastAsia="zh-CN"/>
              </w:rPr>
            </w:pPr>
            <w:r>
              <w:rPr>
                <w:rFonts w:hint="eastAsia"/>
                <w:sz w:val="21"/>
                <w:szCs w:val="21"/>
                <w:vertAlign w:val="baseline"/>
                <w:lang w:val="en-US" w:eastAsia="zh-CN"/>
              </w:rPr>
              <w:t>分项要点</w:t>
            </w:r>
          </w:p>
        </w:tc>
        <w:tc>
          <w:tcPr>
            <w:tcW w:w="8077" w:type="dxa"/>
            <w:shd w:val="clear" w:color="auto" w:fill="CFCECE" w:themeFill="background2" w:themeFillShade="E5"/>
          </w:tcPr>
          <w:p w14:paraId="11AB4935">
            <w:pPr>
              <w:spacing w:line="360" w:lineRule="auto"/>
              <w:jc w:val="center"/>
              <w:rPr>
                <w:rFonts w:hint="default"/>
                <w:sz w:val="21"/>
                <w:szCs w:val="21"/>
                <w:vertAlign w:val="baseline"/>
                <w:lang w:val="en-US" w:eastAsia="zh-CN"/>
              </w:rPr>
            </w:pPr>
            <w:r>
              <w:rPr>
                <w:rFonts w:hint="eastAsia"/>
                <w:sz w:val="21"/>
                <w:szCs w:val="21"/>
                <w:vertAlign w:val="baseline"/>
                <w:lang w:val="en-US" w:eastAsia="zh-CN"/>
              </w:rPr>
              <w:t>具体要求与内容指南</w:t>
            </w:r>
          </w:p>
        </w:tc>
        <w:tc>
          <w:tcPr>
            <w:tcW w:w="353" w:type="dxa"/>
            <w:shd w:val="clear" w:color="auto" w:fill="CFCECE" w:themeFill="background2" w:themeFillShade="E5"/>
          </w:tcPr>
          <w:p w14:paraId="232D8727">
            <w:pPr>
              <w:jc w:val="center"/>
              <w:rPr>
                <w:rFonts w:hint="default"/>
                <w:sz w:val="21"/>
                <w:szCs w:val="21"/>
                <w:vertAlign w:val="baseline"/>
                <w:lang w:val="en-US" w:eastAsia="zh-CN"/>
              </w:rPr>
            </w:pPr>
            <w:r>
              <w:rPr>
                <w:rFonts w:hint="eastAsia"/>
                <w:sz w:val="21"/>
                <w:szCs w:val="21"/>
                <w:vertAlign w:val="baseline"/>
                <w:lang w:val="en-US" w:eastAsia="zh-CN"/>
              </w:rPr>
              <w:t>备注</w:t>
            </w:r>
          </w:p>
        </w:tc>
      </w:tr>
      <w:tr w14:paraId="402A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4" w:hRule="atLeast"/>
        </w:trPr>
        <w:tc>
          <w:tcPr>
            <w:tcW w:w="725" w:type="dxa"/>
            <w:vMerge w:val="restart"/>
          </w:tcPr>
          <w:p w14:paraId="6AE14D00">
            <w:pPr>
              <w:jc w:val="center"/>
              <w:rPr>
                <w:rFonts w:hint="eastAsia"/>
                <w:sz w:val="21"/>
                <w:szCs w:val="21"/>
                <w:vertAlign w:val="baseline"/>
                <w:lang w:val="en-US" w:eastAsia="zh-CN"/>
              </w:rPr>
            </w:pPr>
          </w:p>
          <w:p w14:paraId="6B330777">
            <w:pPr>
              <w:jc w:val="center"/>
              <w:rPr>
                <w:rFonts w:hint="eastAsia"/>
                <w:sz w:val="21"/>
                <w:szCs w:val="21"/>
                <w:vertAlign w:val="baseline"/>
                <w:lang w:val="en-US" w:eastAsia="zh-CN"/>
              </w:rPr>
            </w:pPr>
          </w:p>
          <w:p w14:paraId="0425D05C">
            <w:pPr>
              <w:jc w:val="center"/>
              <w:rPr>
                <w:rFonts w:hint="eastAsia"/>
                <w:sz w:val="21"/>
                <w:szCs w:val="21"/>
                <w:vertAlign w:val="baseline"/>
                <w:lang w:val="en-US" w:eastAsia="zh-CN"/>
              </w:rPr>
            </w:pPr>
          </w:p>
          <w:p w14:paraId="7B506866">
            <w:pPr>
              <w:jc w:val="center"/>
              <w:rPr>
                <w:rFonts w:hint="eastAsia"/>
                <w:sz w:val="21"/>
                <w:szCs w:val="21"/>
                <w:vertAlign w:val="baseline"/>
                <w:lang w:val="en-US" w:eastAsia="zh-CN"/>
              </w:rPr>
            </w:pPr>
          </w:p>
          <w:p w14:paraId="1E88F584">
            <w:pPr>
              <w:jc w:val="center"/>
              <w:rPr>
                <w:rFonts w:hint="eastAsia"/>
                <w:sz w:val="21"/>
                <w:szCs w:val="21"/>
                <w:vertAlign w:val="baseline"/>
                <w:lang w:val="en-US" w:eastAsia="zh-CN"/>
              </w:rPr>
            </w:pPr>
          </w:p>
          <w:p w14:paraId="7871DCD7">
            <w:pPr>
              <w:jc w:val="center"/>
              <w:rPr>
                <w:rFonts w:hint="eastAsia"/>
                <w:sz w:val="21"/>
                <w:szCs w:val="21"/>
                <w:vertAlign w:val="baseline"/>
                <w:lang w:val="en-US" w:eastAsia="zh-CN"/>
              </w:rPr>
            </w:pPr>
            <w:r>
              <w:rPr>
                <w:rFonts w:hint="eastAsia"/>
                <w:sz w:val="21"/>
                <w:szCs w:val="21"/>
                <w:vertAlign w:val="baseline"/>
                <w:lang w:val="en-US" w:eastAsia="zh-CN"/>
              </w:rPr>
              <w:t>精准诊断与</w:t>
            </w:r>
          </w:p>
          <w:p w14:paraId="42ADB6E9">
            <w:pPr>
              <w:jc w:val="center"/>
              <w:rPr>
                <w:rFonts w:hint="default"/>
                <w:sz w:val="21"/>
                <w:szCs w:val="21"/>
                <w:vertAlign w:val="baseline"/>
                <w:lang w:val="en-US" w:eastAsia="zh-CN"/>
              </w:rPr>
            </w:pPr>
            <w:r>
              <w:rPr>
                <w:rFonts w:hint="eastAsia"/>
                <w:sz w:val="21"/>
                <w:szCs w:val="21"/>
                <w:vertAlign w:val="baseline"/>
                <w:lang w:val="en-US" w:eastAsia="zh-CN"/>
              </w:rPr>
              <w:t>归因分析</w:t>
            </w:r>
          </w:p>
        </w:tc>
        <w:tc>
          <w:tcPr>
            <w:tcW w:w="705" w:type="dxa"/>
          </w:tcPr>
          <w:p w14:paraId="71F5BE7C">
            <w:pPr>
              <w:jc w:val="center"/>
              <w:rPr>
                <w:rFonts w:hint="eastAsia"/>
                <w:sz w:val="21"/>
                <w:szCs w:val="21"/>
                <w:vertAlign w:val="baseline"/>
                <w:lang w:val="en-US" w:eastAsia="zh-CN"/>
              </w:rPr>
            </w:pPr>
          </w:p>
          <w:p w14:paraId="2CAFF5AB">
            <w:pPr>
              <w:jc w:val="center"/>
              <w:rPr>
                <w:rFonts w:hint="eastAsia"/>
                <w:sz w:val="21"/>
                <w:szCs w:val="21"/>
                <w:vertAlign w:val="baseline"/>
                <w:lang w:val="en-US" w:eastAsia="zh-CN"/>
              </w:rPr>
            </w:pPr>
          </w:p>
          <w:p w14:paraId="01DE0EBC">
            <w:pPr>
              <w:jc w:val="center"/>
              <w:rPr>
                <w:rFonts w:hint="eastAsia"/>
                <w:sz w:val="21"/>
                <w:szCs w:val="21"/>
                <w:vertAlign w:val="baseline"/>
                <w:lang w:val="en-US" w:eastAsia="zh-CN"/>
              </w:rPr>
            </w:pPr>
          </w:p>
          <w:p w14:paraId="54DFA36E">
            <w:pPr>
              <w:jc w:val="center"/>
              <w:rPr>
                <w:rFonts w:hint="default"/>
                <w:sz w:val="21"/>
                <w:szCs w:val="21"/>
                <w:vertAlign w:val="baseline"/>
                <w:lang w:val="en-US" w:eastAsia="zh-CN"/>
              </w:rPr>
            </w:pPr>
            <w:r>
              <w:rPr>
                <w:rFonts w:hint="eastAsia"/>
                <w:sz w:val="21"/>
                <w:szCs w:val="21"/>
                <w:vertAlign w:val="baseline"/>
                <w:lang w:val="en-US" w:eastAsia="zh-CN"/>
              </w:rPr>
              <w:t>学科问题定位</w:t>
            </w:r>
          </w:p>
        </w:tc>
        <w:tc>
          <w:tcPr>
            <w:tcW w:w="8077" w:type="dxa"/>
          </w:tcPr>
          <w:p w14:paraId="1F4E04CF">
            <w:pPr>
              <w:spacing w:line="360" w:lineRule="auto"/>
              <w:rPr>
                <w:rFonts w:hint="default"/>
                <w:sz w:val="21"/>
                <w:szCs w:val="21"/>
                <w:vertAlign w:val="baseline"/>
                <w:lang w:val="en-US" w:eastAsia="zh-CN"/>
              </w:rPr>
            </w:pPr>
            <w:r>
              <w:rPr>
                <w:rFonts w:hint="eastAsia"/>
                <w:sz w:val="21"/>
                <w:szCs w:val="21"/>
                <w:vertAlign w:val="baseline"/>
                <w:lang w:val="en-US" w:eastAsia="zh-CN"/>
              </w:rPr>
              <w:t>学生的历史基础非常扎实，考试中基础知知识题失误极少，学科思维能力很强，但在复杂材料分析题和跨朝代历史事件对比类题目中，对深层历史逻辑的梳理和多角度论证的完整性尚有提升空间。例如在解答“某一历史改革的背景与影响”类问题时，能够准确列举基本史实，但对改革背后经济基础与上层建筑的互动关系分析不够深入，不同学派观点的整合运用也略显单一。此外，在时间轴记忆方面，虽然重大事件的时间节点掌握准确，但部分细碎但关键的过渡性事件的先后顺序偶有混淆，这在涉及多线索并行的综合论述题中可能影响整体逻辑的连贯性。</w:t>
            </w:r>
          </w:p>
        </w:tc>
        <w:tc>
          <w:tcPr>
            <w:tcW w:w="353" w:type="dxa"/>
          </w:tcPr>
          <w:p w14:paraId="011AFA72">
            <w:pPr>
              <w:jc w:val="center"/>
              <w:rPr>
                <w:rFonts w:hint="default"/>
                <w:sz w:val="21"/>
                <w:szCs w:val="21"/>
                <w:vertAlign w:val="baseline"/>
                <w:lang w:val="en-US" w:eastAsia="zh-CN"/>
              </w:rPr>
            </w:pPr>
          </w:p>
        </w:tc>
      </w:tr>
      <w:tr w14:paraId="051D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0C0A6084">
            <w:pPr>
              <w:jc w:val="center"/>
              <w:rPr>
                <w:rFonts w:hint="default"/>
                <w:sz w:val="21"/>
                <w:szCs w:val="21"/>
                <w:vertAlign w:val="baseline"/>
                <w:lang w:val="en-US" w:eastAsia="zh-CN"/>
              </w:rPr>
            </w:pPr>
          </w:p>
        </w:tc>
        <w:tc>
          <w:tcPr>
            <w:tcW w:w="705" w:type="dxa"/>
          </w:tcPr>
          <w:p w14:paraId="2C14CA9A">
            <w:pPr>
              <w:jc w:val="center"/>
              <w:rPr>
                <w:rFonts w:hint="eastAsia"/>
                <w:sz w:val="21"/>
                <w:szCs w:val="21"/>
                <w:vertAlign w:val="baseline"/>
                <w:lang w:val="en-US" w:eastAsia="zh-CN"/>
              </w:rPr>
            </w:pPr>
          </w:p>
          <w:p w14:paraId="41654621">
            <w:pPr>
              <w:jc w:val="center"/>
              <w:rPr>
                <w:rFonts w:hint="eastAsia"/>
                <w:sz w:val="21"/>
                <w:szCs w:val="21"/>
                <w:vertAlign w:val="baseline"/>
                <w:lang w:val="en-US" w:eastAsia="zh-CN"/>
              </w:rPr>
            </w:pPr>
          </w:p>
          <w:p w14:paraId="4E7A9C05">
            <w:pPr>
              <w:jc w:val="center"/>
              <w:rPr>
                <w:rFonts w:hint="eastAsia"/>
                <w:sz w:val="21"/>
                <w:szCs w:val="21"/>
                <w:vertAlign w:val="baseline"/>
                <w:lang w:val="en-US" w:eastAsia="zh-CN"/>
              </w:rPr>
            </w:pPr>
            <w:r>
              <w:rPr>
                <w:rFonts w:hint="eastAsia"/>
                <w:sz w:val="21"/>
                <w:szCs w:val="21"/>
                <w:vertAlign w:val="baseline"/>
                <w:lang w:val="en-US" w:eastAsia="zh-CN"/>
              </w:rPr>
              <w:t>原因剖析</w:t>
            </w:r>
          </w:p>
          <w:p w14:paraId="2D72E49B">
            <w:pPr>
              <w:jc w:val="center"/>
              <w:rPr>
                <w:rFonts w:hint="default"/>
                <w:sz w:val="21"/>
                <w:szCs w:val="21"/>
                <w:vertAlign w:val="baseline"/>
                <w:lang w:val="en-US" w:eastAsia="zh-CN"/>
              </w:rPr>
            </w:pPr>
          </w:p>
        </w:tc>
        <w:tc>
          <w:tcPr>
            <w:tcW w:w="8077" w:type="dxa"/>
          </w:tcPr>
          <w:p w14:paraId="603BC411">
            <w:pPr>
              <w:spacing w:line="360" w:lineRule="auto"/>
              <w:rPr>
                <w:rFonts w:hint="default"/>
                <w:sz w:val="21"/>
                <w:szCs w:val="21"/>
                <w:vertAlign w:val="baseline"/>
                <w:lang w:val="en-US" w:eastAsia="zh-CN"/>
              </w:rPr>
            </w:pPr>
            <w:r>
              <w:rPr>
                <w:rFonts w:hint="eastAsia"/>
                <w:sz w:val="21"/>
                <w:szCs w:val="21"/>
                <w:vertAlign w:val="baseline"/>
                <w:lang w:val="en-US" w:eastAsia="zh-CN"/>
              </w:rPr>
              <w:t>学生历史知识迁移能力不足的原因主要源于知识存储的碎片化与应用场景的脱节。日常学习中，学生多以孤立的知识点记忆为主，缺乏对历史事件之间因果联系、时空关联的系统梳理，导致在面对新材料或跨领域问题时，难以快速调用已学知识构建完整的分析框架。同时，练习过程中对典型例题的归纳总结不够深入，未能提炼出普适性的解题模型，使得在遇到变式题目时，无法灵活迁移过往经验。此外，对历史学科核心素养中“时空观念”“史料实证”等能力的训练缺乏针对性，在整合不同来源信息、从多元视角解读历史现象方面的刻意练习不足，进一步限制了知识迁移的广度与深度。</w:t>
            </w:r>
          </w:p>
        </w:tc>
        <w:tc>
          <w:tcPr>
            <w:tcW w:w="353" w:type="dxa"/>
          </w:tcPr>
          <w:p w14:paraId="13D511D8">
            <w:pPr>
              <w:rPr>
                <w:rFonts w:hint="default"/>
                <w:sz w:val="21"/>
                <w:szCs w:val="21"/>
                <w:vertAlign w:val="baseline"/>
                <w:lang w:val="en-US" w:eastAsia="zh-CN"/>
              </w:rPr>
            </w:pPr>
          </w:p>
        </w:tc>
      </w:tr>
      <w:tr w14:paraId="5ACE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restart"/>
          </w:tcPr>
          <w:p w14:paraId="4C7C4696">
            <w:pPr>
              <w:jc w:val="center"/>
              <w:rPr>
                <w:rFonts w:hint="eastAsia"/>
                <w:sz w:val="21"/>
                <w:szCs w:val="21"/>
                <w:vertAlign w:val="baseline"/>
                <w:lang w:val="en-US" w:eastAsia="zh-CN"/>
              </w:rPr>
            </w:pPr>
          </w:p>
          <w:p w14:paraId="22C571A3">
            <w:pPr>
              <w:jc w:val="center"/>
              <w:rPr>
                <w:rFonts w:hint="eastAsia"/>
                <w:sz w:val="21"/>
                <w:szCs w:val="21"/>
                <w:vertAlign w:val="baseline"/>
                <w:lang w:val="en-US" w:eastAsia="zh-CN"/>
              </w:rPr>
            </w:pPr>
          </w:p>
          <w:p w14:paraId="21AC8512">
            <w:pPr>
              <w:jc w:val="center"/>
              <w:rPr>
                <w:rFonts w:hint="eastAsia"/>
                <w:sz w:val="21"/>
                <w:szCs w:val="21"/>
                <w:vertAlign w:val="baseline"/>
                <w:lang w:val="en-US" w:eastAsia="zh-CN"/>
              </w:rPr>
            </w:pPr>
            <w:r>
              <w:rPr>
                <w:rFonts w:hint="eastAsia"/>
                <w:sz w:val="21"/>
                <w:szCs w:val="21"/>
                <w:vertAlign w:val="baseline"/>
                <w:lang w:val="en-US" w:eastAsia="zh-CN"/>
              </w:rPr>
              <w:t>目标确立</w:t>
            </w:r>
          </w:p>
          <w:p w14:paraId="622B9B01">
            <w:pPr>
              <w:jc w:val="center"/>
              <w:rPr>
                <w:rFonts w:hint="eastAsia"/>
                <w:sz w:val="21"/>
                <w:szCs w:val="21"/>
                <w:vertAlign w:val="baseline"/>
                <w:lang w:val="en-US" w:eastAsia="zh-CN"/>
              </w:rPr>
            </w:pPr>
            <w:r>
              <w:rPr>
                <w:rFonts w:hint="eastAsia"/>
                <w:sz w:val="21"/>
                <w:szCs w:val="21"/>
                <w:vertAlign w:val="baseline"/>
                <w:lang w:val="en-US" w:eastAsia="zh-CN"/>
              </w:rPr>
              <w:t>与</w:t>
            </w:r>
          </w:p>
          <w:p w14:paraId="00858998">
            <w:pPr>
              <w:jc w:val="center"/>
              <w:rPr>
                <w:rFonts w:hint="default"/>
                <w:sz w:val="21"/>
                <w:szCs w:val="21"/>
                <w:vertAlign w:val="baseline"/>
                <w:lang w:val="en-US" w:eastAsia="zh-CN"/>
              </w:rPr>
            </w:pPr>
            <w:r>
              <w:rPr>
                <w:rFonts w:hint="eastAsia"/>
                <w:sz w:val="21"/>
                <w:szCs w:val="21"/>
                <w:vertAlign w:val="baseline"/>
                <w:lang w:val="en-US" w:eastAsia="zh-CN"/>
              </w:rPr>
              <w:t>强化方向</w:t>
            </w:r>
          </w:p>
        </w:tc>
        <w:tc>
          <w:tcPr>
            <w:tcW w:w="705" w:type="dxa"/>
          </w:tcPr>
          <w:p w14:paraId="17B87BFF">
            <w:pPr>
              <w:jc w:val="center"/>
              <w:rPr>
                <w:rFonts w:hint="default"/>
                <w:sz w:val="21"/>
                <w:szCs w:val="21"/>
                <w:vertAlign w:val="baseline"/>
                <w:lang w:val="en-US" w:eastAsia="zh-CN"/>
              </w:rPr>
            </w:pPr>
            <w:r>
              <w:rPr>
                <w:rFonts w:hint="eastAsia"/>
                <w:sz w:val="21"/>
                <w:szCs w:val="21"/>
                <w:vertAlign w:val="baseline"/>
                <w:lang w:val="en-US" w:eastAsia="zh-CN"/>
              </w:rPr>
              <w:t>奋斗目标</w:t>
            </w:r>
          </w:p>
        </w:tc>
        <w:tc>
          <w:tcPr>
            <w:tcW w:w="8077" w:type="dxa"/>
          </w:tcPr>
          <w:p w14:paraId="7A446D89">
            <w:pPr>
              <w:rPr>
                <w:rFonts w:hint="default"/>
                <w:sz w:val="21"/>
                <w:szCs w:val="21"/>
                <w:vertAlign w:val="baseline"/>
                <w:lang w:val="en-US" w:eastAsia="zh-CN"/>
              </w:rPr>
            </w:pPr>
            <w:r>
              <w:rPr>
                <w:rFonts w:hint="eastAsia"/>
                <w:sz w:val="21"/>
                <w:szCs w:val="21"/>
                <w:vertAlign w:val="baseline"/>
                <w:lang w:val="en-US" w:eastAsia="zh-CN"/>
              </w:rPr>
              <w:t>55分以上</w:t>
            </w:r>
          </w:p>
        </w:tc>
        <w:tc>
          <w:tcPr>
            <w:tcW w:w="353" w:type="dxa"/>
            <w:vMerge w:val="restart"/>
          </w:tcPr>
          <w:p w14:paraId="4E7C0999">
            <w:pPr>
              <w:rPr>
                <w:rFonts w:hint="default"/>
                <w:sz w:val="21"/>
                <w:szCs w:val="21"/>
                <w:vertAlign w:val="baseline"/>
                <w:lang w:val="en-US" w:eastAsia="zh-CN"/>
              </w:rPr>
            </w:pPr>
          </w:p>
        </w:tc>
      </w:tr>
      <w:tr w14:paraId="1BF2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08DF6203">
            <w:pPr>
              <w:jc w:val="center"/>
              <w:rPr>
                <w:rFonts w:hint="default"/>
                <w:sz w:val="21"/>
                <w:szCs w:val="21"/>
                <w:vertAlign w:val="baseline"/>
                <w:lang w:val="en-US" w:eastAsia="zh-CN"/>
              </w:rPr>
            </w:pPr>
          </w:p>
        </w:tc>
        <w:tc>
          <w:tcPr>
            <w:tcW w:w="705" w:type="dxa"/>
          </w:tcPr>
          <w:p w14:paraId="57F28516">
            <w:pPr>
              <w:jc w:val="center"/>
              <w:rPr>
                <w:rFonts w:hint="default"/>
                <w:sz w:val="21"/>
                <w:szCs w:val="21"/>
                <w:vertAlign w:val="baseline"/>
                <w:lang w:val="en-US" w:eastAsia="zh-CN"/>
              </w:rPr>
            </w:pPr>
            <w:r>
              <w:rPr>
                <w:rFonts w:hint="eastAsia"/>
                <w:sz w:val="21"/>
                <w:szCs w:val="21"/>
                <w:vertAlign w:val="baseline"/>
                <w:lang w:val="en-US" w:eastAsia="zh-CN"/>
              </w:rPr>
              <w:t>中考要求</w:t>
            </w:r>
          </w:p>
        </w:tc>
        <w:tc>
          <w:tcPr>
            <w:tcW w:w="8077" w:type="dxa"/>
          </w:tcPr>
          <w:p w14:paraId="76DC861F">
            <w:pPr>
              <w:rPr>
                <w:rFonts w:hint="eastAsia"/>
                <w:sz w:val="21"/>
                <w:szCs w:val="21"/>
                <w:vertAlign w:val="baseline"/>
                <w:lang w:val="en-US" w:eastAsia="zh-CN"/>
              </w:rPr>
            </w:pPr>
            <w:r>
              <w:rPr>
                <w:rFonts w:hint="eastAsia"/>
                <w:sz w:val="21"/>
                <w:szCs w:val="21"/>
                <w:vertAlign w:val="baseline"/>
                <w:lang w:val="en-US" w:eastAsia="zh-CN"/>
              </w:rPr>
              <w:t>选择题正确率稳定11个及以上</w:t>
            </w:r>
          </w:p>
          <w:p w14:paraId="01257CA7">
            <w:pPr>
              <w:rPr>
                <w:rFonts w:hint="default"/>
                <w:sz w:val="21"/>
                <w:szCs w:val="21"/>
                <w:vertAlign w:val="baseline"/>
                <w:lang w:val="en-US" w:eastAsia="zh-CN"/>
              </w:rPr>
            </w:pPr>
            <w:r>
              <w:rPr>
                <w:rFonts w:hint="eastAsia"/>
                <w:sz w:val="21"/>
                <w:szCs w:val="21"/>
                <w:vertAlign w:val="baseline"/>
                <w:lang w:val="en-US" w:eastAsia="zh-CN"/>
              </w:rPr>
              <w:t>材料分析题控分在32分以上</w:t>
            </w:r>
          </w:p>
        </w:tc>
        <w:tc>
          <w:tcPr>
            <w:tcW w:w="353" w:type="dxa"/>
            <w:vMerge w:val="continue"/>
          </w:tcPr>
          <w:p w14:paraId="09578CD0">
            <w:pPr>
              <w:rPr>
                <w:rFonts w:hint="default"/>
                <w:sz w:val="21"/>
                <w:szCs w:val="21"/>
                <w:vertAlign w:val="baseline"/>
                <w:lang w:val="en-US" w:eastAsia="zh-CN"/>
              </w:rPr>
            </w:pPr>
          </w:p>
        </w:tc>
      </w:tr>
      <w:tr w14:paraId="7693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60215CDA">
            <w:pPr>
              <w:jc w:val="center"/>
              <w:rPr>
                <w:rFonts w:hint="default"/>
                <w:sz w:val="21"/>
                <w:szCs w:val="21"/>
                <w:vertAlign w:val="baseline"/>
                <w:lang w:val="en-US" w:eastAsia="zh-CN"/>
              </w:rPr>
            </w:pPr>
          </w:p>
        </w:tc>
        <w:tc>
          <w:tcPr>
            <w:tcW w:w="705" w:type="dxa"/>
          </w:tcPr>
          <w:p w14:paraId="419169AF">
            <w:pPr>
              <w:jc w:val="center"/>
              <w:rPr>
                <w:rFonts w:hint="default"/>
                <w:sz w:val="21"/>
                <w:szCs w:val="21"/>
                <w:vertAlign w:val="baseline"/>
                <w:lang w:val="en-US" w:eastAsia="zh-CN"/>
              </w:rPr>
            </w:pPr>
            <w:r>
              <w:rPr>
                <w:rFonts w:hint="eastAsia"/>
                <w:sz w:val="21"/>
                <w:szCs w:val="21"/>
                <w:vertAlign w:val="baseline"/>
                <w:lang w:val="en-US" w:eastAsia="zh-CN"/>
              </w:rPr>
              <w:t>具体强化</w:t>
            </w:r>
          </w:p>
        </w:tc>
        <w:tc>
          <w:tcPr>
            <w:tcW w:w="8077" w:type="dxa"/>
          </w:tcPr>
          <w:p w14:paraId="13F3A1A3">
            <w:pPr>
              <w:spacing w:line="360" w:lineRule="auto"/>
              <w:rPr>
                <w:rFonts w:hint="default"/>
                <w:sz w:val="21"/>
                <w:szCs w:val="21"/>
                <w:vertAlign w:val="baseline"/>
                <w:lang w:val="en-US" w:eastAsia="zh-CN"/>
              </w:rPr>
            </w:pPr>
            <w:r>
              <w:rPr>
                <w:rFonts w:hint="eastAsia"/>
                <w:sz w:val="21"/>
                <w:szCs w:val="21"/>
                <w:vertAlign w:val="baseline"/>
                <w:lang w:val="en-US" w:eastAsia="zh-CN"/>
              </w:rPr>
              <w:t>首先要构建知识网络体系，按时间轴梳理中外重大历史事件，标注事件间的因果链条与时空坐标，比如将中国近代史的鸦片战争、洋务运动、戊戌变法等串联成“列强侵华与近代化探索”的专题脉络，通过制作思维导图强化事件关联性记忆。针对典型例题，开展“一题多解”和“多题归一”训练，以材料分析题为例，总结“审题干—定位考点—提取关键信息—结合所学论证”的四步解题模型，同时收集近五年中考真题中的变式题目，对比分析命题角度差异，提炼通用答题模板。在核心素养训练方面，每周安排2次史料实证专项练习，选取不同立场的历史文献、图片、实物等素材，引导学生辨析史料类型与价值，从政治、经济、文化等多元视角解读历史现象，例如通过对比不同时期对辛亥革命的评价，培养辩证思维与历史解释能力。此外，建立错题归因机制，按“知识点漏洞”“审题偏差”“表达不规范”等类别整理错题，针对性进行薄弱环节强化，定期模拟考试并限时训练，提升答题速度与准确率，确保选择题耗时控制在15分钟内，材料分析题要点全面且逻辑清晰。</w:t>
            </w:r>
          </w:p>
        </w:tc>
        <w:tc>
          <w:tcPr>
            <w:tcW w:w="353" w:type="dxa"/>
            <w:vMerge w:val="continue"/>
          </w:tcPr>
          <w:p w14:paraId="297CCECC">
            <w:pPr>
              <w:rPr>
                <w:rFonts w:hint="default"/>
                <w:sz w:val="21"/>
                <w:szCs w:val="21"/>
                <w:vertAlign w:val="baseline"/>
                <w:lang w:val="en-US" w:eastAsia="zh-CN"/>
              </w:rPr>
            </w:pPr>
          </w:p>
        </w:tc>
      </w:tr>
      <w:tr w14:paraId="675B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restart"/>
          </w:tcPr>
          <w:p w14:paraId="05909CFD">
            <w:pPr>
              <w:jc w:val="center"/>
              <w:rPr>
                <w:rFonts w:hint="eastAsia"/>
                <w:sz w:val="21"/>
                <w:szCs w:val="21"/>
                <w:vertAlign w:val="baseline"/>
                <w:lang w:val="en-US" w:eastAsia="zh-CN"/>
              </w:rPr>
            </w:pPr>
          </w:p>
          <w:p w14:paraId="05E5D5AA">
            <w:pPr>
              <w:jc w:val="center"/>
              <w:rPr>
                <w:rFonts w:hint="eastAsia"/>
                <w:sz w:val="21"/>
                <w:szCs w:val="21"/>
                <w:vertAlign w:val="baseline"/>
                <w:lang w:val="en-US" w:eastAsia="zh-CN"/>
              </w:rPr>
            </w:pPr>
          </w:p>
          <w:p w14:paraId="1A859485">
            <w:pPr>
              <w:jc w:val="center"/>
              <w:rPr>
                <w:rFonts w:hint="default"/>
                <w:sz w:val="21"/>
                <w:szCs w:val="21"/>
                <w:vertAlign w:val="baseline"/>
                <w:lang w:val="en-US" w:eastAsia="zh-CN"/>
              </w:rPr>
            </w:pPr>
            <w:r>
              <w:rPr>
                <w:rFonts w:hint="eastAsia"/>
                <w:sz w:val="21"/>
                <w:szCs w:val="21"/>
                <w:vertAlign w:val="baseline"/>
                <w:lang w:val="en-US" w:eastAsia="zh-CN"/>
              </w:rPr>
              <w:t>具体措施</w:t>
            </w:r>
          </w:p>
        </w:tc>
        <w:tc>
          <w:tcPr>
            <w:tcW w:w="705" w:type="dxa"/>
          </w:tcPr>
          <w:p w14:paraId="03267D25">
            <w:pPr>
              <w:jc w:val="center"/>
              <w:rPr>
                <w:rFonts w:hint="default"/>
                <w:sz w:val="21"/>
                <w:szCs w:val="21"/>
                <w:vertAlign w:val="baseline"/>
                <w:lang w:val="en-US" w:eastAsia="zh-CN"/>
              </w:rPr>
            </w:pPr>
            <w:r>
              <w:rPr>
                <w:rFonts w:hint="eastAsia"/>
                <w:sz w:val="21"/>
                <w:szCs w:val="21"/>
                <w:vertAlign w:val="baseline"/>
                <w:lang w:val="en-US" w:eastAsia="zh-CN"/>
              </w:rPr>
              <w:t>任务清单</w:t>
            </w:r>
          </w:p>
        </w:tc>
        <w:tc>
          <w:tcPr>
            <w:tcW w:w="8077" w:type="dxa"/>
          </w:tcPr>
          <w:p w14:paraId="6A256382">
            <w:pPr>
              <w:rPr>
                <w:rFonts w:hint="eastAsia"/>
                <w:sz w:val="21"/>
                <w:szCs w:val="21"/>
                <w:vertAlign w:val="baseline"/>
                <w:lang w:val="en-US" w:eastAsia="zh-CN"/>
              </w:rPr>
            </w:pPr>
            <w:r>
              <w:rPr>
                <w:rFonts w:hint="eastAsia"/>
                <w:sz w:val="21"/>
                <w:szCs w:val="21"/>
                <w:vertAlign w:val="baseline"/>
                <w:lang w:val="en-US" w:eastAsia="zh-CN"/>
              </w:rPr>
              <w:t>认真研读初三历史6本教材，加强基础知识记忆；</w:t>
            </w:r>
          </w:p>
          <w:p w14:paraId="246F87BF">
            <w:pPr>
              <w:rPr>
                <w:rFonts w:hint="eastAsia"/>
                <w:sz w:val="21"/>
                <w:szCs w:val="21"/>
                <w:vertAlign w:val="baseline"/>
                <w:lang w:val="en-US" w:eastAsia="zh-CN"/>
              </w:rPr>
            </w:pPr>
            <w:r>
              <w:rPr>
                <w:rFonts w:hint="eastAsia"/>
                <w:sz w:val="21"/>
                <w:szCs w:val="21"/>
                <w:vertAlign w:val="baseline"/>
                <w:lang w:val="en-US" w:eastAsia="zh-CN"/>
              </w:rPr>
              <w:t>陕西中考45套卷子每周2套</w:t>
            </w:r>
          </w:p>
          <w:p w14:paraId="30B5F9FA">
            <w:pPr>
              <w:rPr>
                <w:rFonts w:hint="eastAsia"/>
                <w:sz w:val="21"/>
                <w:szCs w:val="21"/>
                <w:vertAlign w:val="baseline"/>
                <w:lang w:val="en-US" w:eastAsia="zh-CN"/>
              </w:rPr>
            </w:pPr>
            <w:r>
              <w:rPr>
                <w:rFonts w:hint="eastAsia"/>
                <w:sz w:val="21"/>
                <w:szCs w:val="21"/>
                <w:vertAlign w:val="baseline"/>
                <w:lang w:val="en-US" w:eastAsia="zh-CN"/>
              </w:rPr>
              <w:t>整理周测、月考试卷上的错题；</w:t>
            </w:r>
          </w:p>
          <w:p w14:paraId="4BC84AEB">
            <w:pPr>
              <w:rPr>
                <w:rFonts w:hint="default"/>
                <w:sz w:val="21"/>
                <w:szCs w:val="21"/>
                <w:vertAlign w:val="baseline"/>
                <w:lang w:val="en-US" w:eastAsia="zh-CN"/>
              </w:rPr>
            </w:pPr>
            <w:r>
              <w:rPr>
                <w:rFonts w:hint="eastAsia"/>
                <w:sz w:val="21"/>
                <w:szCs w:val="21"/>
                <w:vertAlign w:val="baseline"/>
                <w:lang w:val="en-US" w:eastAsia="zh-CN"/>
              </w:rPr>
              <w:t>每周利用晚自习找老师提问；（特别注意论题的选取）；</w:t>
            </w:r>
          </w:p>
        </w:tc>
        <w:tc>
          <w:tcPr>
            <w:tcW w:w="353" w:type="dxa"/>
            <w:vMerge w:val="restart"/>
          </w:tcPr>
          <w:p w14:paraId="37955D85">
            <w:pPr>
              <w:rPr>
                <w:rFonts w:hint="default"/>
                <w:sz w:val="21"/>
                <w:szCs w:val="21"/>
                <w:vertAlign w:val="baseline"/>
                <w:lang w:val="en-US" w:eastAsia="zh-CN"/>
              </w:rPr>
            </w:pPr>
          </w:p>
          <w:p w14:paraId="4575C422">
            <w:pPr>
              <w:rPr>
                <w:rFonts w:hint="default"/>
                <w:sz w:val="21"/>
                <w:szCs w:val="21"/>
                <w:vertAlign w:val="baseline"/>
                <w:lang w:val="en-US" w:eastAsia="zh-CN"/>
              </w:rPr>
            </w:pPr>
          </w:p>
          <w:p w14:paraId="68BE4D01">
            <w:pPr>
              <w:rPr>
                <w:rFonts w:hint="default"/>
                <w:sz w:val="21"/>
                <w:szCs w:val="21"/>
                <w:vertAlign w:val="baseline"/>
                <w:lang w:val="en-US" w:eastAsia="zh-CN"/>
              </w:rPr>
            </w:pPr>
          </w:p>
          <w:p w14:paraId="7E2E8EB1">
            <w:pPr>
              <w:rPr>
                <w:rFonts w:hint="default"/>
                <w:sz w:val="21"/>
                <w:szCs w:val="21"/>
                <w:vertAlign w:val="baseline"/>
                <w:lang w:val="en-US" w:eastAsia="zh-CN"/>
              </w:rPr>
            </w:pPr>
          </w:p>
          <w:p w14:paraId="70B3E326">
            <w:pPr>
              <w:rPr>
                <w:rFonts w:hint="default"/>
                <w:sz w:val="21"/>
                <w:szCs w:val="21"/>
                <w:vertAlign w:val="baseline"/>
                <w:lang w:val="en-US" w:eastAsia="zh-CN"/>
              </w:rPr>
            </w:pPr>
          </w:p>
        </w:tc>
      </w:tr>
      <w:tr w14:paraId="1690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28989DFA">
            <w:pPr>
              <w:jc w:val="center"/>
              <w:rPr>
                <w:rFonts w:hint="default"/>
                <w:sz w:val="21"/>
                <w:szCs w:val="21"/>
                <w:vertAlign w:val="baseline"/>
                <w:lang w:val="en-US" w:eastAsia="zh-CN"/>
              </w:rPr>
            </w:pPr>
          </w:p>
        </w:tc>
        <w:tc>
          <w:tcPr>
            <w:tcW w:w="705" w:type="dxa"/>
          </w:tcPr>
          <w:p w14:paraId="2EE6E93B">
            <w:pPr>
              <w:jc w:val="center"/>
              <w:rPr>
                <w:rFonts w:hint="default"/>
                <w:sz w:val="21"/>
                <w:szCs w:val="21"/>
                <w:vertAlign w:val="baseline"/>
                <w:lang w:val="en-US" w:eastAsia="zh-CN"/>
              </w:rPr>
            </w:pPr>
            <w:r>
              <w:rPr>
                <w:rFonts w:hint="eastAsia"/>
                <w:sz w:val="21"/>
                <w:szCs w:val="21"/>
                <w:vertAlign w:val="baseline"/>
                <w:lang w:val="en-US" w:eastAsia="zh-CN"/>
              </w:rPr>
              <w:t>具体时间安排</w:t>
            </w:r>
          </w:p>
        </w:tc>
        <w:tc>
          <w:tcPr>
            <w:tcW w:w="8077" w:type="dxa"/>
          </w:tcPr>
          <w:p w14:paraId="2EFF07DB">
            <w:pPr>
              <w:rPr>
                <w:rFonts w:hint="eastAsia"/>
                <w:sz w:val="21"/>
                <w:szCs w:val="21"/>
                <w:vertAlign w:val="baseline"/>
                <w:lang w:val="en-US" w:eastAsia="zh-CN"/>
              </w:rPr>
            </w:pPr>
            <w:r>
              <w:rPr>
                <w:rFonts w:hint="eastAsia"/>
                <w:sz w:val="21"/>
                <w:szCs w:val="21"/>
                <w:vertAlign w:val="baseline"/>
                <w:lang w:val="en-US" w:eastAsia="zh-CN"/>
              </w:rPr>
              <w:t>每周三晚辅向老师提出至少3个知识盲区；</w:t>
            </w:r>
          </w:p>
          <w:p w14:paraId="36F9E2D9">
            <w:pPr>
              <w:rPr>
                <w:rFonts w:hint="eastAsia"/>
                <w:sz w:val="21"/>
                <w:szCs w:val="21"/>
                <w:vertAlign w:val="baseline"/>
                <w:lang w:val="en-US" w:eastAsia="zh-CN"/>
              </w:rPr>
            </w:pPr>
            <w:r>
              <w:rPr>
                <w:rFonts w:hint="eastAsia"/>
                <w:sz w:val="21"/>
                <w:szCs w:val="21"/>
                <w:vertAlign w:val="baseline"/>
                <w:lang w:val="en-US" w:eastAsia="zh-CN"/>
              </w:rPr>
              <w:t>每周四晚自习整理周测、月考、期中期末考的错题；</w:t>
            </w:r>
          </w:p>
          <w:p w14:paraId="3C094E3A">
            <w:pPr>
              <w:rPr>
                <w:rFonts w:hint="eastAsia"/>
                <w:sz w:val="21"/>
                <w:szCs w:val="21"/>
                <w:vertAlign w:val="baseline"/>
                <w:lang w:val="en-US" w:eastAsia="zh-CN"/>
              </w:rPr>
            </w:pPr>
            <w:r>
              <w:rPr>
                <w:rFonts w:hint="eastAsia"/>
                <w:sz w:val="21"/>
                <w:szCs w:val="21"/>
                <w:vertAlign w:val="baseline"/>
                <w:lang w:val="en-US" w:eastAsia="zh-CN"/>
              </w:rPr>
              <w:t>每周五晚自习认真研读历史课本，总结出自己的疑点</w:t>
            </w:r>
          </w:p>
          <w:p w14:paraId="6EE171D7">
            <w:pPr>
              <w:rPr>
                <w:rFonts w:hint="default"/>
                <w:sz w:val="21"/>
                <w:szCs w:val="21"/>
                <w:vertAlign w:val="baseline"/>
                <w:lang w:val="en-US" w:eastAsia="zh-CN"/>
              </w:rPr>
            </w:pPr>
            <w:r>
              <w:rPr>
                <w:rFonts w:hint="eastAsia"/>
                <w:sz w:val="21"/>
                <w:szCs w:val="21"/>
                <w:vertAlign w:val="baseline"/>
                <w:lang w:val="en-US" w:eastAsia="zh-CN"/>
              </w:rPr>
              <w:t>每周找老师批阅一张历史试卷，并总结写作方法，整理写作模板；</w:t>
            </w:r>
          </w:p>
        </w:tc>
        <w:tc>
          <w:tcPr>
            <w:tcW w:w="353" w:type="dxa"/>
            <w:vMerge w:val="continue"/>
          </w:tcPr>
          <w:p w14:paraId="27ED3BE9">
            <w:pPr>
              <w:rPr>
                <w:rFonts w:hint="default"/>
                <w:sz w:val="21"/>
                <w:szCs w:val="21"/>
                <w:vertAlign w:val="baseline"/>
                <w:lang w:val="en-US" w:eastAsia="zh-CN"/>
              </w:rPr>
            </w:pPr>
          </w:p>
        </w:tc>
      </w:tr>
      <w:tr w14:paraId="0787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restart"/>
          </w:tcPr>
          <w:p w14:paraId="0A3570BE">
            <w:pPr>
              <w:jc w:val="center"/>
              <w:rPr>
                <w:rFonts w:hint="eastAsia"/>
                <w:sz w:val="21"/>
                <w:szCs w:val="21"/>
                <w:vertAlign w:val="baseline"/>
                <w:lang w:val="en-US" w:eastAsia="zh-CN"/>
              </w:rPr>
            </w:pPr>
          </w:p>
          <w:p w14:paraId="37DAA353">
            <w:pPr>
              <w:jc w:val="center"/>
              <w:rPr>
                <w:rFonts w:hint="eastAsia"/>
                <w:sz w:val="21"/>
                <w:szCs w:val="21"/>
                <w:vertAlign w:val="baseline"/>
                <w:lang w:val="en-US" w:eastAsia="zh-CN"/>
              </w:rPr>
            </w:pPr>
          </w:p>
          <w:p w14:paraId="0AE37364">
            <w:pPr>
              <w:jc w:val="center"/>
              <w:rPr>
                <w:rFonts w:hint="eastAsia"/>
                <w:sz w:val="21"/>
                <w:szCs w:val="21"/>
                <w:vertAlign w:val="baseline"/>
                <w:lang w:val="en-US" w:eastAsia="zh-CN"/>
              </w:rPr>
            </w:pPr>
          </w:p>
          <w:p w14:paraId="53E81C5D">
            <w:pPr>
              <w:jc w:val="center"/>
              <w:rPr>
                <w:rFonts w:hint="eastAsia"/>
                <w:sz w:val="21"/>
                <w:szCs w:val="21"/>
                <w:vertAlign w:val="baseline"/>
                <w:lang w:val="en-US" w:eastAsia="zh-CN"/>
              </w:rPr>
            </w:pPr>
          </w:p>
          <w:p w14:paraId="7148366A">
            <w:pPr>
              <w:jc w:val="center"/>
              <w:rPr>
                <w:rFonts w:hint="eastAsia"/>
                <w:sz w:val="21"/>
                <w:szCs w:val="21"/>
                <w:vertAlign w:val="baseline"/>
                <w:lang w:val="en-US" w:eastAsia="zh-CN"/>
              </w:rPr>
            </w:pPr>
            <w:r>
              <w:rPr>
                <w:rFonts w:hint="eastAsia"/>
                <w:sz w:val="21"/>
                <w:szCs w:val="21"/>
                <w:vertAlign w:val="baseline"/>
                <w:lang w:val="en-US" w:eastAsia="zh-CN"/>
              </w:rPr>
              <w:t>督查与</w:t>
            </w:r>
          </w:p>
          <w:p w14:paraId="741C740C">
            <w:pPr>
              <w:jc w:val="center"/>
              <w:rPr>
                <w:rFonts w:hint="default"/>
                <w:sz w:val="21"/>
                <w:szCs w:val="21"/>
                <w:vertAlign w:val="baseline"/>
                <w:lang w:val="en-US" w:eastAsia="zh-CN"/>
              </w:rPr>
            </w:pPr>
            <w:r>
              <w:rPr>
                <w:rFonts w:hint="eastAsia"/>
                <w:sz w:val="21"/>
                <w:szCs w:val="21"/>
                <w:vertAlign w:val="baseline"/>
                <w:lang w:val="en-US" w:eastAsia="zh-CN"/>
              </w:rPr>
              <w:t>反馈</w:t>
            </w:r>
          </w:p>
        </w:tc>
        <w:tc>
          <w:tcPr>
            <w:tcW w:w="705" w:type="dxa"/>
          </w:tcPr>
          <w:p w14:paraId="2134B848">
            <w:pPr>
              <w:jc w:val="center"/>
              <w:rPr>
                <w:rFonts w:hint="eastAsia"/>
                <w:sz w:val="21"/>
                <w:szCs w:val="21"/>
                <w:vertAlign w:val="baseline"/>
                <w:lang w:val="en-US" w:eastAsia="zh-CN"/>
              </w:rPr>
            </w:pPr>
            <w:r>
              <w:rPr>
                <w:rFonts w:hint="eastAsia"/>
                <w:sz w:val="21"/>
                <w:szCs w:val="21"/>
                <w:vertAlign w:val="baseline"/>
                <w:lang w:val="en-US" w:eastAsia="zh-CN"/>
              </w:rPr>
              <w:t>学生自查</w:t>
            </w:r>
          </w:p>
          <w:p w14:paraId="310ACB66">
            <w:pPr>
              <w:jc w:val="center"/>
              <w:rPr>
                <w:rFonts w:hint="default"/>
                <w:sz w:val="21"/>
                <w:szCs w:val="21"/>
                <w:vertAlign w:val="baseline"/>
                <w:lang w:val="en-US" w:eastAsia="zh-CN"/>
              </w:rPr>
            </w:pPr>
          </w:p>
        </w:tc>
        <w:tc>
          <w:tcPr>
            <w:tcW w:w="8077" w:type="dxa"/>
          </w:tcPr>
          <w:p w14:paraId="55367781">
            <w:pPr>
              <w:rPr>
                <w:rFonts w:hint="default"/>
                <w:sz w:val="21"/>
                <w:szCs w:val="21"/>
                <w:vertAlign w:val="baseline"/>
                <w:lang w:val="en-US" w:eastAsia="zh-CN"/>
              </w:rPr>
            </w:pPr>
            <w:r>
              <w:rPr>
                <w:rFonts w:hint="eastAsia"/>
                <w:sz w:val="21"/>
                <w:szCs w:val="21"/>
                <w:vertAlign w:val="baseline"/>
                <w:lang w:val="en-US" w:eastAsia="zh-CN"/>
              </w:rPr>
              <w:t>课前预习：预习本节课上课要讲授的知识点；课堂中学生们相互督促，保持良好的听课状态。课后作业每天按时按量完成，并提交至班主任处。利用晚自习课堂查漏补缺，整理自己的疑点盲点主动向老师提问。</w:t>
            </w:r>
          </w:p>
        </w:tc>
        <w:tc>
          <w:tcPr>
            <w:tcW w:w="353" w:type="dxa"/>
            <w:vMerge w:val="restart"/>
          </w:tcPr>
          <w:p w14:paraId="5096CE4A">
            <w:pPr>
              <w:rPr>
                <w:rFonts w:hint="default"/>
                <w:sz w:val="21"/>
                <w:szCs w:val="21"/>
                <w:vertAlign w:val="baseline"/>
                <w:lang w:val="en-US" w:eastAsia="zh-CN"/>
              </w:rPr>
            </w:pPr>
          </w:p>
        </w:tc>
      </w:tr>
      <w:tr w14:paraId="4677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22A75FD0">
            <w:pPr>
              <w:jc w:val="center"/>
              <w:rPr>
                <w:rFonts w:hint="default"/>
                <w:sz w:val="21"/>
                <w:szCs w:val="21"/>
                <w:vertAlign w:val="baseline"/>
                <w:lang w:val="en-US" w:eastAsia="zh-CN"/>
              </w:rPr>
            </w:pPr>
          </w:p>
        </w:tc>
        <w:tc>
          <w:tcPr>
            <w:tcW w:w="705" w:type="dxa"/>
          </w:tcPr>
          <w:p w14:paraId="23AC4099">
            <w:pPr>
              <w:jc w:val="center"/>
              <w:rPr>
                <w:rFonts w:hint="eastAsia"/>
                <w:sz w:val="21"/>
                <w:szCs w:val="21"/>
                <w:vertAlign w:val="baseline"/>
                <w:lang w:val="en-US" w:eastAsia="zh-CN"/>
              </w:rPr>
            </w:pPr>
            <w:r>
              <w:rPr>
                <w:rFonts w:hint="eastAsia"/>
                <w:sz w:val="21"/>
                <w:szCs w:val="21"/>
                <w:vertAlign w:val="baseline"/>
                <w:lang w:val="en-US" w:eastAsia="zh-CN"/>
              </w:rPr>
              <w:t>教师督查</w:t>
            </w:r>
            <w:bookmarkStart w:id="0" w:name="_GoBack"/>
            <w:bookmarkEnd w:id="0"/>
          </w:p>
          <w:p w14:paraId="25FB4054">
            <w:pPr>
              <w:jc w:val="center"/>
              <w:rPr>
                <w:rFonts w:hint="default"/>
                <w:sz w:val="21"/>
                <w:szCs w:val="21"/>
                <w:vertAlign w:val="baseline"/>
                <w:lang w:val="en-US" w:eastAsia="zh-CN"/>
              </w:rPr>
            </w:pPr>
          </w:p>
        </w:tc>
        <w:tc>
          <w:tcPr>
            <w:tcW w:w="8077" w:type="dxa"/>
          </w:tcPr>
          <w:p w14:paraId="413C52A1">
            <w:pPr>
              <w:rPr>
                <w:rFonts w:hint="eastAsia"/>
                <w:sz w:val="21"/>
                <w:szCs w:val="21"/>
                <w:vertAlign w:val="baseline"/>
                <w:lang w:val="en-US" w:eastAsia="zh-CN"/>
              </w:rPr>
            </w:pPr>
            <w:r>
              <w:rPr>
                <w:rFonts w:hint="eastAsia"/>
                <w:sz w:val="21"/>
                <w:szCs w:val="21"/>
                <w:vertAlign w:val="baseline"/>
                <w:lang w:val="en-US" w:eastAsia="zh-CN"/>
              </w:rPr>
              <w:t>每节课抽查提问上节课所学知识点；</w:t>
            </w:r>
          </w:p>
          <w:p w14:paraId="7D7A9621">
            <w:pPr>
              <w:rPr>
                <w:rFonts w:hint="default"/>
                <w:sz w:val="21"/>
                <w:szCs w:val="21"/>
                <w:vertAlign w:val="baseline"/>
                <w:lang w:val="en-US" w:eastAsia="zh-CN"/>
              </w:rPr>
            </w:pPr>
            <w:r>
              <w:rPr>
                <w:rFonts w:hint="eastAsia"/>
                <w:sz w:val="21"/>
                <w:szCs w:val="21"/>
                <w:vertAlign w:val="baseline"/>
                <w:lang w:val="en-US" w:eastAsia="zh-CN"/>
              </w:rPr>
              <w:t>检查作业完成进度，并有针对性的讲解错题；</w:t>
            </w:r>
          </w:p>
        </w:tc>
        <w:tc>
          <w:tcPr>
            <w:tcW w:w="353" w:type="dxa"/>
            <w:vMerge w:val="continue"/>
          </w:tcPr>
          <w:p w14:paraId="4CC7F6FC">
            <w:pPr>
              <w:rPr>
                <w:rFonts w:hint="default"/>
                <w:sz w:val="21"/>
                <w:szCs w:val="21"/>
                <w:vertAlign w:val="baseline"/>
                <w:lang w:val="en-US" w:eastAsia="zh-CN"/>
              </w:rPr>
            </w:pPr>
          </w:p>
        </w:tc>
      </w:tr>
      <w:tr w14:paraId="6E12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Merge w:val="continue"/>
          </w:tcPr>
          <w:p w14:paraId="3F420871">
            <w:pPr>
              <w:jc w:val="center"/>
              <w:rPr>
                <w:rFonts w:hint="default"/>
                <w:sz w:val="21"/>
                <w:szCs w:val="21"/>
                <w:vertAlign w:val="baseline"/>
                <w:lang w:val="en-US" w:eastAsia="zh-CN"/>
              </w:rPr>
            </w:pPr>
          </w:p>
        </w:tc>
        <w:tc>
          <w:tcPr>
            <w:tcW w:w="705" w:type="dxa"/>
          </w:tcPr>
          <w:p w14:paraId="46E44ED7">
            <w:pPr>
              <w:jc w:val="center"/>
              <w:rPr>
                <w:rFonts w:hint="eastAsia"/>
                <w:sz w:val="21"/>
                <w:szCs w:val="21"/>
                <w:vertAlign w:val="baseline"/>
                <w:lang w:val="en-US" w:eastAsia="zh-CN"/>
              </w:rPr>
            </w:pPr>
            <w:r>
              <w:rPr>
                <w:rFonts w:hint="eastAsia"/>
                <w:sz w:val="21"/>
                <w:szCs w:val="21"/>
                <w:vertAlign w:val="baseline"/>
                <w:lang w:val="en-US" w:eastAsia="zh-CN"/>
              </w:rPr>
              <w:t>校长检查</w:t>
            </w:r>
          </w:p>
          <w:p w14:paraId="5B0FBDEF">
            <w:pPr>
              <w:jc w:val="center"/>
              <w:rPr>
                <w:rFonts w:hint="default"/>
                <w:sz w:val="21"/>
                <w:szCs w:val="21"/>
                <w:vertAlign w:val="baseline"/>
                <w:lang w:val="en-US" w:eastAsia="zh-CN"/>
              </w:rPr>
            </w:pPr>
          </w:p>
        </w:tc>
        <w:tc>
          <w:tcPr>
            <w:tcW w:w="8077" w:type="dxa"/>
          </w:tcPr>
          <w:p w14:paraId="3E02D92B">
            <w:pPr>
              <w:numPr>
                <w:ilvl w:val="0"/>
                <w:numId w:val="1"/>
              </w:numPr>
              <w:rPr>
                <w:rFonts w:hint="eastAsia"/>
                <w:sz w:val="21"/>
                <w:szCs w:val="21"/>
              </w:rPr>
            </w:pPr>
            <w:r>
              <w:rPr>
                <w:rFonts w:hint="eastAsia"/>
                <w:sz w:val="21"/>
                <w:szCs w:val="21"/>
              </w:rPr>
              <w:t>每月查阅教学记录、作业批改、错题本整理情况，评估督察效果；</w:t>
            </w:r>
          </w:p>
          <w:p w14:paraId="670510C4">
            <w:pPr>
              <w:numPr>
                <w:ilvl w:val="0"/>
                <w:numId w:val="1"/>
              </w:numPr>
              <w:rPr>
                <w:rFonts w:hint="default"/>
                <w:sz w:val="21"/>
                <w:szCs w:val="21"/>
                <w:vertAlign w:val="baseline"/>
                <w:lang w:val="en-US" w:eastAsia="zh-CN"/>
              </w:rPr>
            </w:pPr>
            <w:r>
              <w:rPr>
                <w:rFonts w:hint="eastAsia"/>
                <w:sz w:val="21"/>
                <w:szCs w:val="21"/>
              </w:rPr>
              <w:t>针对顽固性问题（犯困、书写差），协同班主任、课任教师制定解决方案；3. 定期了解学习进度和目标达成情况，提出整改建议确保方案落地</w:t>
            </w:r>
            <w:r>
              <w:rPr>
                <w:rFonts w:hint="eastAsia"/>
                <w:sz w:val="21"/>
                <w:szCs w:val="21"/>
                <w:lang w:eastAsia="zh-CN"/>
              </w:rPr>
              <w:t>。</w:t>
            </w:r>
          </w:p>
        </w:tc>
        <w:tc>
          <w:tcPr>
            <w:tcW w:w="353" w:type="dxa"/>
            <w:vMerge w:val="continue"/>
          </w:tcPr>
          <w:p w14:paraId="3C57B0AB">
            <w:pPr>
              <w:rPr>
                <w:rFonts w:hint="default"/>
                <w:sz w:val="21"/>
                <w:szCs w:val="21"/>
                <w:vertAlign w:val="baseline"/>
                <w:lang w:val="en-US" w:eastAsia="zh-CN"/>
              </w:rPr>
            </w:pPr>
          </w:p>
        </w:tc>
      </w:tr>
    </w:tbl>
    <w:p w14:paraId="72DCB8FF">
      <w:pPr>
        <w:rPr>
          <w:rFonts w:hint="default"/>
          <w:sz w:val="21"/>
          <w:szCs w:val="21"/>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13BD81"/>
    <w:multiLevelType w:val="singleLevel"/>
    <w:tmpl w:val="3813BD8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70D2E"/>
    <w:rsid w:val="0D69614D"/>
    <w:rsid w:val="1EEE3041"/>
    <w:rsid w:val="27CB17CB"/>
    <w:rsid w:val="2C9FBE3F"/>
    <w:rsid w:val="2CFF5F3A"/>
    <w:rsid w:val="333F6015"/>
    <w:rsid w:val="473F5544"/>
    <w:rsid w:val="4D2C029D"/>
    <w:rsid w:val="57B34A94"/>
    <w:rsid w:val="57C2F6DC"/>
    <w:rsid w:val="57CD38D4"/>
    <w:rsid w:val="61037FEB"/>
    <w:rsid w:val="66EA7C93"/>
    <w:rsid w:val="6F3F549E"/>
    <w:rsid w:val="6FFC38DC"/>
    <w:rsid w:val="74FB884C"/>
    <w:rsid w:val="776B1A89"/>
    <w:rsid w:val="797A7AC9"/>
    <w:rsid w:val="7B0A659E"/>
    <w:rsid w:val="7E69A4DC"/>
    <w:rsid w:val="9D6FEFE1"/>
    <w:rsid w:val="9FF87D6D"/>
    <w:rsid w:val="BF6F5780"/>
    <w:rsid w:val="D5FFE863"/>
    <w:rsid w:val="F4FD90BE"/>
    <w:rsid w:val="FCFFFD32"/>
    <w:rsid w:val="FFEF6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1478</Words>
  <Characters>1484</Characters>
  <Lines>0</Lines>
  <Paragraphs>0</Paragraphs>
  <TotalTime>2</TotalTime>
  <ScaleCrop>false</ScaleCrop>
  <LinksUpToDate>false</LinksUpToDate>
  <CharactersWithSpaces>1486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2026-01-21T17:20:00Z</dcterms:created>
  <dc:creator>a</dc:creator>
  <cp:lastModifiedBy>颜学功</cp:lastModifiedBy>
  <dcterms:modified xsi:type="dcterms:W3CDTF">2026-02-08T01:20:12Z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eyJoZGlkIjoiYzA0ZGZiMjNkZTY4NjUzYmYyYjQ4MjM2ZTBhZmE2Y2MiLCJ1c2VySWQiOiI2MDM5MDM5NjcifQ==</vt:lpwstr>
  </property>
  <property fmtid="{D5CDD505-2E9C-101B-9397-08002B2CF9AE}" pid="4" name="ICV">
    <vt:lpwstr>03231B7153F74E75B583789B62BE24DD_12</vt:lpwstr>
  </property>
</Properties>
</file>