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057"/>
          <w:sz w:val="28"/>
          <w:szCs w:val="28"/>
        </w:rPr>
        <w:t xml:space="preserve">Ensemble-Based Guitar Chord Classification Using Minimal Harmonics and Librosa Features</w:t>
      </w:r>
    </w:p>
    <w:p>
      <w:pPr>
        <w:spacing w:after="160" w:before="0"/>
        <w:jc w:val="center"/>
      </w:pPr>
      <w:r>
        <w:rPr>
          <w:rFonts w:ascii="Arial" w:cs="Arial" w:eastAsia="Arial" w:hAnsi="Arial"/>
          <w:i/>
          <w:iCs/>
          <w:color w:val="555555"/>
          <w:sz w:val="19"/>
          <w:szCs w:val="19"/>
        </w:rPr>
        <w:t xml:space="preserve">Spectral Feature Fusion and Soft-Voting Ensemble Learning for Major/Minor Chord Discrimination</w:t>
      </w:r>
    </w:p>
    <w:p>
      <w:pPr>
        <w:pBdr>
          <w:bottom w:val="single" w:color="2E4057" w:sz="6" w:space="4"/>
        </w:pBdr>
        <w:spacing w:after="100" w:before="0"/>
      </w:pPr>
      <w:r>
        <w:rPr>
          <w:rFonts w:ascii="Arial" w:cs="Arial" w:eastAsia="Arial" w:hAnsi="Arial"/>
          <w:b/>
          <w:bCs/>
          <w:color w:val="2E4057"/>
          <w:sz w:val="21"/>
          <w:szCs w:val="21"/>
        </w:rPr>
        <w:t xml:space="preserve">Abstract</w:t>
      </w:r>
    </w:p>
    <w:p>
      <w:pPr>
        <w:spacing w:after="80" w:before="0" w:line="252" w:lineRule="auto"/>
        <w:jc w:val="both"/>
      </w:pPr>
      <w:r>
        <w:rPr>
          <w:rFonts w:ascii="Arial" w:cs="Arial" w:eastAsia="Arial" w:hAnsi="Arial"/>
          <w:sz w:val="18"/>
          <w:szCs w:val="18"/>
        </w:rPr>
        <w:t xml:space="preserve">Distinguishing major from minor guitar chords is acoustically tractable yet computationally non-trivial once recording variation and class imbalance enter the picture. This paper presents a classification pipeline that pairs FFT-derived harmonic interval ratios with a 230-dimensional Librosa spectral descriptor—Chroma CENS, Tonnetz, spectral contrast, 40-coefficient MFCCs, and delta-MFCCs—to produce a 244-dimensional feature vector per sample. Three tree-based classifiers (Random Forest, Extra Trees, XGBoost) are combined via calibrated soft-voting. Trained on 859 guitar chord WAV files with six-fold training-only augmentation and evaluated through pipeline-based five-fold stratified cross-validation, the system attains 97.40% ± 0.60% mean accuracy—a 3.4 percentage point gain over the 94% harmonic-only baseline of [6]. A feature ablation study reveals that Chroma CENS alone achieves 97.81%, while SHAP attribution identifies chroma_mean_3 and chroma_mean_4 as the dominant predictors, consistent with the music-theoretic role of third-interval pitch classes in chord quality discrimination [1], [3]. The ensemble adds robustness across diverse recording conditions that no single estimator achieves independently [6], [8].</w:t>
      </w:r>
    </w:p>
    <w:p>
      <w:pPr>
        <w:spacing w:after="100" w:before="0"/>
        <w:jc w:val="left"/>
      </w:pPr>
      <w:r>
        <w:rPr>
          <w:rFonts w:ascii="Arial" w:cs="Arial" w:eastAsia="Arial" w:hAnsi="Arial"/>
          <w:i/>
          <w:iCs/>
          <w:color w:val="444444"/>
          <w:sz w:val="17"/>
          <w:szCs w:val="17"/>
        </w:rPr>
        <w:t xml:space="preserve">Keywords: guitar chord classification, ensemble learning, Chroma CENS, MFCC, FFT harmonic intervals, soft-voting, music information retrieval</w:t>
      </w:r>
    </w:p>
    <w:p>
      <w:pPr>
        <w:pBdr>
          <w:bottom w:val="single" w:color="CCCCCC" w:sz="2" w:space="4"/>
        </w:pBdr>
        <w:spacing w:after="0" w:before="0"/>
      </w:pPr>
    </w:p>
    <w:p>
      <w:pPr>
        <w:sectPr>
          <w:pgSz w:w="12240" w:h="15840" w:orient="portrait"/>
          <w:pgMar w:top="864" w:right="864" w:bottom="720" w:left="864" w:header="708" w:footer="708" w:gutter="0"/>
          <w:pgNumType/>
          <w:docGrid w:linePitch="360"/>
        </w:sectPr>
      </w:pPr>
    </w:p>
    <w:p>
      <w:pPr>
        <w:spacing w:after="60" w:before="160"/>
        <w:jc w:val="left"/>
      </w:pPr>
      <w:r>
        <w:rPr>
          <w:rFonts w:ascii="Arial" w:cs="Arial" w:eastAsia="Arial" w:hAnsi="Arial"/>
          <w:b/>
          <w:bCs/>
          <w:color w:val="2E4057"/>
          <w:sz w:val="20"/>
          <w:szCs w:val="20"/>
        </w:rPr>
        <w:t xml:space="preserve">1. INTRODUCTION</w:t>
      </w:r>
    </w:p>
    <w:p>
      <w:pPr>
        <w:spacing w:after="100" w:before="0" w:line="252" w:lineRule="auto"/>
        <w:ind w:firstLine="360"/>
        <w:jc w:val="both"/>
      </w:pPr>
      <w:r>
        <w:rPr>
          <w:rFonts w:ascii="Arial" w:cs="Arial" w:eastAsia="Arial" w:hAnsi="Arial"/>
          <w:sz w:val="19"/>
          <w:szCs w:val="19"/>
        </w:rPr>
        <w:t xml:space="preserve">Music information retrieval has long treated chord recognition as a gateway problem—tractable enough to make progress on, yet rich enough to reveal fundamental tensions in signal representation. Binary major/minor classification sits at a peculiar intersection: the acoustic difference reduces to a frequency ratio shift of roughly 4% between the major third (~1.25× the fundamental) and the minor third (~1.20×), yet computationally the task is sensitive to timbre, voicing, and recording conditions [1], [5].</w:t>
      </w:r>
    </w:p>
    <w:p>
      <w:pPr>
        <w:spacing w:after="100" w:before="0" w:line="252" w:lineRule="auto"/>
        <w:ind w:firstLine="360"/>
        <w:jc w:val="both"/>
      </w:pPr>
      <w:r>
        <w:rPr>
          <w:rFonts w:ascii="Arial" w:cs="Arial" w:eastAsia="Arial" w:hAnsi="Arial"/>
          <w:sz w:val="19"/>
          <w:szCs w:val="19"/>
        </w:rPr>
        <w:t xml:space="preserve">Early approaches relied on FFT spectral peak analysis. Guerrero-Turrubiates et al. demonstrated that harmonic frequency bins carry sufficient information for reasonable classification accuracy [1], [2], and Monnier et al. extended this to machine learning pipelines [10]. Their shared limitation is that interval ratios normalize out root pitch but provide no information about timbral envelope or pitch-class energy distribution. Korzeniowski and Widmer made an influential case for learned chroma features via deep architectures [3]; Sumarno demonstrated MFCCs remain competitive despite their timbral rather than harmonic focus [4]; Wu and Li incorporated temporal context through BLSTM-CRF sequence models [8]. What these studies suggest collectively is that no single feature representation fully captures chord quality—a motivating observation for ensemble learning [6], [9].</w:t>
      </w:r>
    </w:p>
    <w:p>
      <w:pPr>
        <w:spacing w:after="100" w:before="0" w:line="252" w:lineRule="auto"/>
        <w:ind w:firstLine="360"/>
        <w:jc w:val="both"/>
      </w:pPr>
      <w:r>
        <w:rPr>
          <w:rFonts w:ascii="Arial" w:cs="Arial" w:eastAsia="Arial" w:hAnsi="Arial"/>
          <w:sz w:val="19"/>
          <w:szCs w:val="19"/>
        </w:rPr>
        <w:t xml:space="preserve">This paper builds directly on Sharma et al. [6], which established a Random Forest baseline of ~94% using compact FFT harmonic intervals with basic chroma and MFCC features. We examine what happens when this feature space is substantially enriched and the single-estimator architecture is replaced by a soft-voting ensemble of three complementary tree-based learners [11], [17]. The core questions are whether feature richness genuinely adds value beyond Chroma CENS alone, and whether the ensemble genuinely outperforms its parts [18], [19].</w:t>
      </w:r>
    </w:p>
    <w:p>
      <w:pPr>
        <w:spacing w:after="100" w:before="0" w:line="252" w:lineRule="auto"/>
        <w:ind w:firstLine="360"/>
        <w:jc w:val="both"/>
      </w:pPr>
      <w:r>
        <w:rPr>
          <w:rFonts w:ascii="Arial" w:cs="Arial" w:eastAsia="Arial" w:hAnsi="Arial"/>
          <w:sz w:val="19"/>
          <w:szCs w:val="19"/>
        </w:rPr>
        <w:t xml:space="preserve">The answer is nuanced. The ensemble does improve over any individual classifier. But the ablation study reveals something the headline number obscures: Chroma CENS—just 36 dimensions—achieves 97.81% cross-validation accuracy alone, exceeding the full 244-feature system under a single estimator. This has practical implications for lightweight real-time chord recognition systems [9], [13].</w:t>
      </w:r>
    </w:p>
    <w:p>
      <w:pPr>
        <w:spacing w:after="60" w:before="160"/>
        <w:jc w:val="left"/>
      </w:pPr>
      <w:r>
        <w:rPr>
          <w:rFonts w:ascii="Arial" w:cs="Arial" w:eastAsia="Arial" w:hAnsi="Arial"/>
          <w:b/>
          <w:bCs/>
          <w:color w:val="2E4057"/>
          <w:sz w:val="20"/>
          <w:szCs w:val="20"/>
        </w:rPr>
        <w:t xml:space="preserve">2. METHODOLOGY</w:t>
      </w:r>
    </w:p>
    <w:p>
      <w:pPr>
        <w:spacing w:after="40" w:before="100"/>
        <w:jc w:val="left"/>
      </w:pPr>
      <w:r>
        <w:rPr>
          <w:rFonts w:ascii="Arial" w:cs="Arial" w:eastAsia="Arial" w:hAnsi="Arial"/>
          <w:b/>
          <w:bCs/>
          <w:sz w:val="19"/>
          <w:szCs w:val="19"/>
        </w:rPr>
        <w:t xml:space="preserve">2.1 Dataset and Preprocessing</w:t>
      </w:r>
    </w:p>
    <w:p>
      <w:pPr>
        <w:spacing w:after="100" w:before="0" w:line="252" w:lineRule="auto"/>
        <w:ind w:firstLine="360"/>
        <w:jc w:val="both"/>
      </w:pPr>
      <w:r>
        <w:rPr>
          <w:rFonts w:ascii="Arial" w:cs="Arial" w:eastAsia="Arial" w:hAnsi="Arial"/>
          <w:sz w:val="19"/>
          <w:szCs w:val="19"/>
        </w:rPr>
        <w:t xml:space="preserve">The dataset comprises 859 guitar chord WAV files at 44,100 Hz: 502 major and 357 minor samples—a 58.5%/41.5% imbalance that resurfaces throughout results [6]. Audio loading and silence trimming (25 dB threshold) were handled via librosa. An 80/20 stratified train-test split preserved class ratios in both partitions; the 173-sample test set was held out entirely before augmentation. Applying augmentation before splitting inflates accuracy through test-set leakage—a protocol flaw in some prior work [11], [27].</w:t>
      </w:r>
    </w:p>
    <w:p>
      <w:pPr>
        <w:spacing w:after="40" w:before="100"/>
        <w:jc w:val="left"/>
      </w:pPr>
      <w:r>
        <w:rPr>
          <w:rFonts w:ascii="Arial" w:cs="Arial" w:eastAsia="Arial" w:hAnsi="Arial"/>
          <w:b/>
          <w:bCs/>
          <w:sz w:val="19"/>
          <w:szCs w:val="19"/>
        </w:rPr>
        <w:t xml:space="preserve">2.2 FFT Harmonic Interval Extraction</w:t>
      </w:r>
    </w:p>
    <w:p>
      <w:pPr>
        <w:spacing w:after="100" w:before="0" w:line="252" w:lineRule="auto"/>
        <w:ind w:firstLine="360"/>
        <w:jc w:val="both"/>
      </w:pPr>
      <w:r>
        <w:rPr>
          <w:rFonts w:ascii="Arial" w:cs="Arial" w:eastAsia="Arial" w:hAnsi="Arial"/>
          <w:sz w:val="19"/>
          <w:szCs w:val="19"/>
        </w:rPr>
        <w:t xml:space="preserve">The real-valued FFT is applied to each waveform. Spectral peaks are identified at heights exceeding 10% of maximum amplitude; frequencies below 80 Hz are discarded as sub-harmonic noise [1]. Up to eight harmonics are retained per sample, with h₀ as the detected fundamental. Interval ratios I = [h₁/h₀, ..., h₇/h₀] form a seven-dimensional root-invariant vector; the key ratio h₁/h₀ ≈ 1.25 for major versus ≈ 1.20 for minor encodes the primary quality distinction [1], [2]. A log-transformed copy log(Iₖ + 10⁻⁶) captures the multiplicative structure of musical intervals. Concatenating both vectors yields a 14-dimensional harmonic descriptor [5], [20].</w:t>
      </w:r>
    </w:p>
    <w:p>
      <w:pPr>
        <w:spacing w:after="40" w:before="100"/>
        <w:jc w:val="left"/>
      </w:pPr>
      <w:r>
        <w:rPr>
          <w:rFonts w:ascii="Arial" w:cs="Arial" w:eastAsia="Arial" w:hAnsi="Arial"/>
          <w:b/>
          <w:bCs/>
          <w:sz w:val="19"/>
          <w:szCs w:val="19"/>
        </w:rPr>
        <w:t xml:space="preserve">2.3 Librosa Spectral Features</w:t>
      </w:r>
    </w:p>
    <w:p>
      <w:pPr>
        <w:spacing w:after="100" w:before="0" w:line="252" w:lineRule="auto"/>
        <w:ind w:firstLine="360"/>
        <w:jc w:val="both"/>
      </w:pPr>
      <w:r>
        <w:rPr>
          <w:rFonts w:ascii="Arial" w:cs="Arial" w:eastAsia="Arial" w:hAnsi="Arial"/>
          <w:sz w:val="19"/>
          <w:szCs w:val="19"/>
        </w:rPr>
        <w:t xml:space="preserve">A 230-dimensional spectral vector is extracted from the harmonic component of each sample (librosa.effects.harmonic). Six feature groups constitute this vector: (1) Chroma CENS (36 features): mean, std, and max per pitch class, circularly shifted so the detected root occupies index zero—making third-interval differences explicitly learnable [3]; (2) Tonnetz (12 features): mean and std over a six-dimensional harmonic space encoding fifth, minor-third, and major-third relationships [7]; (3) Spectral contrast (14 features): mean and std across seven sub-bands; (4) MFCC (80 features): 40 coefficients with mean and std, encoding spectral envelope [4], [6]; (5) Delta-MFCC (80 features): temporal derivatives of the MFCC sequence; (6) Scalar descriptors (8 features): mean and std of ZCR, spectral centroid, bandwidth, and RMS energy. Combined with the 14-dimensional harmonic vector, total dimensionality is 244 (verified: Feature shape: (4116, 244)) [6].</w:t>
      </w:r>
    </w:p>
    <w:p>
      <w:pPr>
        <w:spacing w:after="40" w:before="100"/>
        <w:jc w:val="left"/>
      </w:pPr>
      <w:r>
        <w:rPr>
          <w:rFonts w:ascii="Arial" w:cs="Arial" w:eastAsia="Arial" w:hAnsi="Arial"/>
          <w:b/>
          <w:bCs/>
          <w:sz w:val="19"/>
          <w:szCs w:val="19"/>
        </w:rPr>
        <w:t xml:space="preserve">2.4 Data Augmentation</w:t>
      </w:r>
    </w:p>
    <w:p>
      <w:pPr>
        <w:spacing w:after="100" w:before="0" w:line="252" w:lineRule="auto"/>
        <w:ind w:firstLine="360"/>
        <w:jc w:val="both"/>
      </w:pPr>
      <w:r>
        <w:rPr>
          <w:rFonts w:ascii="Arial" w:cs="Arial" w:eastAsia="Arial" w:hAnsi="Arial"/>
          <w:sz w:val="19"/>
          <w:szCs w:val="19"/>
        </w:rPr>
        <w:t xml:space="preserve">Six augmented waveforms are generated per training sample: original signal; pitch-shifted by ±2 semitones; time-stretched by a rate in [0.8, 1.2]; additive Gaussian noise (σ = 0.005); volume scaling in [0.7, 1.3]; and tanh soft-clipping. Applied exclusively to the 686-sample training partition, the corpus expands to 4,116 training samples. Byambatsogt et al. demonstrated that physical data augmentation substantially improves robustness without requiring additional recording sessions, provided test-set contamination is avoided [14].</w:t>
      </w:r>
    </w:p>
    <w:p>
      <w:pPr>
        <w:spacing w:after="40" w:before="100"/>
        <w:jc w:val="left"/>
      </w:pPr>
      <w:r>
        <w:rPr>
          <w:rFonts w:ascii="Arial" w:cs="Arial" w:eastAsia="Arial" w:hAnsi="Arial"/>
          <w:b/>
          <w:bCs/>
          <w:sz w:val="19"/>
          <w:szCs w:val="19"/>
        </w:rPr>
        <w:t xml:space="preserve">2.5 Ensemble Design and Evaluation Protocol</w:t>
      </w:r>
    </w:p>
    <w:p>
      <w:pPr>
        <w:spacing w:after="100" w:before="0" w:line="252" w:lineRule="auto"/>
        <w:ind w:firstLine="360"/>
        <w:jc w:val="both"/>
      </w:pPr>
      <w:r>
        <w:rPr>
          <w:rFonts w:ascii="Arial" w:cs="Arial" w:eastAsia="Arial" w:hAnsi="Arial"/>
          <w:sz w:val="19"/>
          <w:szCs w:val="19"/>
        </w:rPr>
        <w:t xml:space="preserve">Three tree-based classifiers form the soft-voting ensemble [6]. Random Forest: 1,000 trees, sqrt feature subsampling, balanced class weighting [11]. Extra Trees: 2,000 extremely randomized trees with sqrt features and balanced weighting [17]. XGBoost: 1,000 iterations, max_depth=5, learning_rate=0.05, min_child_weight=3, gamma=0.1, subsample=0.8 [12]. Soft-voting weights are [1, 1.5, 1.5] for RF, ET, XGB respectively, reflecting empirically superior CV performance of the latter two. Prediction: ŷ = argmaxc Σᵢ wᵢ·P̂ᵢ(c|x) [6], [9]. Evaluation uses five-fold stratified CV with StandardScaler fitted inside each Pipeline fold, preventing data leakage. Held-out test accuracy on 173 unaugmented samples is reported as a secondary metric.</w:t>
      </w:r>
    </w:p>
    <w:p>
      <w:pPr>
        <w:spacing w:after="60" w:before="160"/>
        <w:jc w:val="left"/>
      </w:pPr>
      <w:r>
        <w:rPr>
          <w:rFonts w:ascii="Arial" w:cs="Arial" w:eastAsia="Arial" w:hAnsi="Arial"/>
          <w:b/>
          <w:bCs/>
          <w:color w:val="2E4057"/>
          <w:sz w:val="20"/>
          <w:szCs w:val="20"/>
        </w:rPr>
        <w:t xml:space="preserve">3. RESULTS AND DISCUSSION</w:t>
      </w:r>
    </w:p>
    <w:p>
      <w:pPr>
        <w:spacing w:after="40" w:before="100"/>
        <w:jc w:val="left"/>
      </w:pPr>
      <w:r>
        <w:rPr>
          <w:rFonts w:ascii="Arial" w:cs="Arial" w:eastAsia="Arial" w:hAnsi="Arial"/>
          <w:b/>
          <w:bCs/>
          <w:sz w:val="19"/>
          <w:szCs w:val="19"/>
        </w:rPr>
        <w:t xml:space="preserve">3.1 Cross-Validation Performance</w:t>
      </w:r>
    </w:p>
    <w:p>
      <w:pPr>
        <w:spacing w:after="100" w:before="0" w:line="252" w:lineRule="auto"/>
        <w:ind w:firstLine="360"/>
        <w:jc w:val="both"/>
      </w:pPr>
      <w:r>
        <w:rPr>
          <w:rFonts w:ascii="Arial" w:cs="Arial" w:eastAsia="Arial" w:hAnsi="Arial"/>
          <w:sz w:val="19"/>
          <w:szCs w:val="19"/>
        </w:rPr>
        <w:t xml:space="preserve">Table 1 reports five-fold stratified CV results drawn directly from executed notebook code. The soft-voting ensemble achieves 97.40% ± 0.60%—a 3.4 pp improvement over the 94% baseline in [6]. XGBoost (97.25% ± 0.37%) and Extra Trees (97.08% ± 0.41%) individually outperform Random Forest (96.67% ± 0.62%) and Gradient Boosting (96.57% ± 0.33%). The ensemble's superiority reflects genuine diversity in error correction mechanisms: XGBoost applies sequential boosting on boundary samples [8]; Extra Trees reduces variance through extreme split randomization; Random Forest decorrelates trees via bootstrap sampling [6]. Combining their posteriors via soft voting yields more stable probability estimates than any single estimator [6], [9].</w:t>
      </w:r>
    </w:p>
    <w:p>
      <w:pPr>
        <w:spacing w:after="60" w:before="80"/>
      </w:pPr>
      <w:r>
        <w:rPr>
          <w:rFonts w:ascii="Arial" w:cs="Arial" w:eastAsia="Arial" w:hAnsi="Arial"/>
          <w:b/>
          <w:bCs/>
          <w:i/>
          <w:iCs/>
          <w:sz w:val="17"/>
          <w:szCs w:val="17"/>
        </w:rPr>
        <w:t xml:space="preserve">Table 1. Five-Fold Stratified CV Results (Pipeline-Based, Leakage-Free)</w:t>
      </w:r>
    </w:p>
    <w:tbl>
      <w:tblPr>
        <w:tblW w:type="dxa" w:w="4920"/>
        <w:tblBorders>
          <w:top w:val="single" w:color="auto" w:sz="4"/>
          <w:left w:val="single" w:color="auto" w:sz="4"/>
          <w:bottom w:val="single" w:color="auto" w:sz="4"/>
          <w:right w:val="single" w:color="auto" w:sz="4"/>
          <w:insideH w:val="single" w:color="auto" w:sz="4"/>
          <w:insideV w:val="single" w:color="auto" w:sz="4"/>
        </w:tblBorders>
      </w:tblPr>
      <w:tblGrid>
        <w:gridCol w:w="2200"/>
        <w:gridCol w:w="1460"/>
        <w:gridCol w:w="1260"/>
      </w:tblGrid>
      <w:tr>
        <w:tc>
          <w:tcPr>
            <w:tcW w:type="dxa" w:w="220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Classifier</w:t>
            </w:r>
          </w:p>
        </w:tc>
        <w:tc>
          <w:tcPr>
            <w:tcW w:type="dxa" w:w="146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CV Acc. (%)</w:t>
            </w:r>
          </w:p>
        </w:tc>
        <w:tc>
          <w:tcPr>
            <w:tcW w:type="dxa" w:w="126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Std (%)</w:t>
            </w:r>
          </w:p>
        </w:tc>
      </w:tr>
      <w:tr>
        <w:tc>
          <w:tcPr>
            <w:tcW w:type="dxa" w:w="22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Random Forest</w:t>
            </w:r>
          </w:p>
        </w:tc>
        <w:tc>
          <w:tcPr>
            <w:tcW w:type="dxa" w:w="146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96.67</w:t>
            </w:r>
          </w:p>
        </w:tc>
        <w:tc>
          <w:tcPr>
            <w:tcW w:type="dxa" w:w="126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±0.62</w:t>
            </w:r>
          </w:p>
        </w:tc>
      </w:tr>
      <w:tr>
        <w:tc>
          <w:tcPr>
            <w:tcW w:type="dxa" w:w="22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Gradient Boosting</w:t>
            </w:r>
          </w:p>
        </w:tc>
        <w:tc>
          <w:tcPr>
            <w:tcW w:type="dxa" w:w="146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96.57</w:t>
            </w:r>
          </w:p>
        </w:tc>
        <w:tc>
          <w:tcPr>
            <w:tcW w:type="dxa" w:w="126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±0.33</w:t>
            </w:r>
          </w:p>
        </w:tc>
      </w:tr>
      <w:tr>
        <w:tc>
          <w:tcPr>
            <w:tcW w:type="dxa" w:w="22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Extra Trees</w:t>
            </w:r>
          </w:p>
        </w:tc>
        <w:tc>
          <w:tcPr>
            <w:tcW w:type="dxa" w:w="146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97.08</w:t>
            </w:r>
          </w:p>
        </w:tc>
        <w:tc>
          <w:tcPr>
            <w:tcW w:type="dxa" w:w="126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±0.41</w:t>
            </w:r>
          </w:p>
        </w:tc>
      </w:tr>
      <w:tr>
        <w:tc>
          <w:tcPr>
            <w:tcW w:type="dxa" w:w="22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XGBoost</w:t>
            </w:r>
          </w:p>
        </w:tc>
        <w:tc>
          <w:tcPr>
            <w:tcW w:type="dxa" w:w="146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97.25</w:t>
            </w:r>
          </w:p>
        </w:tc>
        <w:tc>
          <w:tcPr>
            <w:tcW w:type="dxa" w:w="126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±0.37</w:t>
            </w:r>
          </w:p>
        </w:tc>
      </w:tr>
      <w:tr>
        <w:tc>
          <w:tcPr>
            <w:tcW w:type="dxa" w:w="22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bCs/>
                <w:color w:val="000000"/>
                <w:sz w:val="18"/>
                <w:szCs w:val="18"/>
              </w:rPr>
              <w:t xml:space="preserve">Voting Ensemble</w:t>
            </w:r>
          </w:p>
        </w:tc>
        <w:tc>
          <w:tcPr>
            <w:tcW w:type="dxa" w:w="146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bCs/>
                <w:color w:val="000000"/>
                <w:sz w:val="18"/>
                <w:szCs w:val="18"/>
              </w:rPr>
              <w:t xml:space="preserve">97.40</w:t>
            </w:r>
          </w:p>
        </w:tc>
        <w:tc>
          <w:tcPr>
            <w:tcW w:type="dxa" w:w="126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bCs/>
                <w:color w:val="000000"/>
                <w:sz w:val="18"/>
                <w:szCs w:val="18"/>
              </w:rPr>
              <w:t xml:space="preserve">±0.60</w:t>
            </w:r>
          </w:p>
        </w:tc>
      </w:tr>
    </w:tbl>
    <w:p>
      <w:pPr>
        <w:spacing w:after="100" w:before="40"/>
      </w:pPr>
    </w:p>
    <w:p>
      <w:pPr>
        <w:spacing w:after="100" w:before="0" w:line="252" w:lineRule="auto"/>
        <w:ind w:firstLine="360"/>
        <w:jc w:val="both"/>
      </w:pPr>
      <w:r>
        <w:rPr>
          <w:rFonts w:ascii="Arial" w:cs="Arial" w:eastAsia="Arial" w:hAnsi="Arial"/>
          <w:sz w:val="19"/>
          <w:szCs w:val="19"/>
        </w:rPr>
        <w:t xml:space="preserve">Held-out test accuracy on 173 unaugmented samples: RF 94.22%, ET 94.22%, XGBoost 96.53%, GB 96.53%, Voting Ensemble 95.95%. The ensemble does not achieve the highest single-split test accuracy—XGBoost and GB marginally outperform it on this one partition. This discrepancy is expected given the high variance of single-split evaluation on 173 samples. An SVM baseline, evaluated on pre-scaled data (a leakage-prone protocol), reports an inflated CV of 97.33% ± 0.49%; its honest held-out test accuracy drops to 91.33%—confirming that leakage-free CV protocol matters and that the ensemble's 95.95% test accuracy represents a genuine gain [12], [17].</w:t>
      </w:r>
    </w:p>
    <w:p>
      <w:pPr>
        <w:spacing w:after="40" w:before="100"/>
        <w:jc w:val="left"/>
      </w:pPr>
      <w:r>
        <w:rPr>
          <w:rFonts w:ascii="Arial" w:cs="Arial" w:eastAsia="Arial" w:hAnsi="Arial"/>
          <w:b/>
          <w:bCs/>
          <w:sz w:val="19"/>
          <w:szCs w:val="19"/>
        </w:rPr>
        <w:t xml:space="preserve">3.2 Per-Class Performance</w:t>
      </w:r>
    </w:p>
    <w:p>
      <w:pPr>
        <w:spacing w:after="100" w:before="0" w:line="252" w:lineRule="auto"/>
        <w:ind w:firstLine="360"/>
        <w:jc w:val="both"/>
      </w:pPr>
      <w:r>
        <w:rPr>
          <w:rFonts w:ascii="Arial" w:cs="Arial" w:eastAsia="Arial" w:hAnsi="Arial"/>
          <w:sz w:val="19"/>
          <w:szCs w:val="19"/>
        </w:rPr>
        <w:t xml:space="preserve">Table 2 reports Voting Ensemble performance on the held-out set. Major class: precision 0.97, recall 0.99; minor class: precision 0.96, recall 0.92. Weighted F1 is 0.97, but the minor-class F1 of 0.94 trails major's 0.98 meaningfully.</w:t>
      </w:r>
    </w:p>
    <w:p>
      <w:pPr>
        <w:spacing w:after="60" w:before="80"/>
      </w:pPr>
      <w:r>
        <w:rPr>
          <w:rFonts w:ascii="Arial" w:cs="Arial" w:eastAsia="Arial" w:hAnsi="Arial"/>
          <w:b/>
          <w:bCs/>
          <w:i/>
          <w:iCs/>
          <w:sz w:val="17"/>
          <w:szCs w:val="17"/>
        </w:rPr>
        <w:t xml:space="preserve">Table 2. Classification Report — Voting Ensemble (n = 173)</w:t>
      </w:r>
    </w:p>
    <w:tbl>
      <w:tblPr>
        <w:tblW w:type="dxa" w:w="4920"/>
        <w:tblBorders>
          <w:top w:val="single" w:color="auto" w:sz="4"/>
          <w:left w:val="single" w:color="auto" w:sz="4"/>
          <w:bottom w:val="single" w:color="auto" w:sz="4"/>
          <w:right w:val="single" w:color="auto" w:sz="4"/>
          <w:insideH w:val="single" w:color="auto" w:sz="4"/>
          <w:insideV w:val="single" w:color="auto" w:sz="4"/>
        </w:tblBorders>
      </w:tblPr>
      <w:tblGrid>
        <w:gridCol w:w="1380"/>
        <w:gridCol w:w="880"/>
        <w:gridCol w:w="880"/>
        <w:gridCol w:w="880"/>
        <w:gridCol w:w="900"/>
      </w:tblGrid>
      <w:tr>
        <w:tc>
          <w:tcPr>
            <w:tcW w:type="dxa" w:w="138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Class</w:t>
            </w:r>
          </w:p>
        </w:tc>
        <w:tc>
          <w:tcPr>
            <w:tcW w:type="dxa" w:w="88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Prec.</w:t>
            </w:r>
          </w:p>
        </w:tc>
        <w:tc>
          <w:tcPr>
            <w:tcW w:type="dxa" w:w="88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Rec.</w:t>
            </w:r>
          </w:p>
        </w:tc>
        <w:tc>
          <w:tcPr>
            <w:tcW w:type="dxa" w:w="88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F1</w:t>
            </w:r>
          </w:p>
        </w:tc>
        <w:tc>
          <w:tcPr>
            <w:tcW w:type="dxa" w:w="90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n</w:t>
            </w:r>
          </w:p>
        </w:tc>
      </w:tr>
      <w:tr>
        <w:tc>
          <w:tcPr>
            <w:tcW w:type="dxa" w:w="13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Major (0)</w:t>
            </w:r>
          </w:p>
        </w:tc>
        <w:tc>
          <w:tcPr>
            <w:tcW w:type="dxa" w:w="8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0.97</w:t>
            </w:r>
          </w:p>
        </w:tc>
        <w:tc>
          <w:tcPr>
            <w:tcW w:type="dxa" w:w="8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0.99</w:t>
            </w:r>
          </w:p>
        </w:tc>
        <w:tc>
          <w:tcPr>
            <w:tcW w:type="dxa" w:w="8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0.98</w:t>
            </w:r>
          </w:p>
        </w:tc>
        <w:tc>
          <w:tcPr>
            <w:tcW w:type="dxa" w:w="9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108</w:t>
            </w:r>
          </w:p>
        </w:tc>
      </w:tr>
      <w:tr>
        <w:tc>
          <w:tcPr>
            <w:tcW w:type="dxa" w:w="13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Minor (1)</w:t>
            </w:r>
          </w:p>
        </w:tc>
        <w:tc>
          <w:tcPr>
            <w:tcW w:type="dxa" w:w="8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0.96</w:t>
            </w:r>
          </w:p>
        </w:tc>
        <w:tc>
          <w:tcPr>
            <w:tcW w:type="dxa" w:w="8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0.92</w:t>
            </w:r>
          </w:p>
        </w:tc>
        <w:tc>
          <w:tcPr>
            <w:tcW w:type="dxa" w:w="8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0.94</w:t>
            </w:r>
          </w:p>
        </w:tc>
        <w:tc>
          <w:tcPr>
            <w:tcW w:type="dxa" w:w="9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65</w:t>
            </w:r>
          </w:p>
        </w:tc>
      </w:tr>
      <w:tr>
        <w:tc>
          <w:tcPr>
            <w:tcW w:type="dxa" w:w="13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bCs/>
                <w:color w:val="000000"/>
                <w:sz w:val="18"/>
                <w:szCs w:val="18"/>
              </w:rPr>
              <w:t xml:space="preserve">Wtd. Avg</w:t>
            </w:r>
          </w:p>
        </w:tc>
        <w:tc>
          <w:tcPr>
            <w:tcW w:type="dxa" w:w="8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0.97</w:t>
            </w:r>
          </w:p>
        </w:tc>
        <w:tc>
          <w:tcPr>
            <w:tcW w:type="dxa" w:w="8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0.97</w:t>
            </w:r>
          </w:p>
        </w:tc>
        <w:tc>
          <w:tcPr>
            <w:tcW w:type="dxa" w:w="8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0.97</w:t>
            </w:r>
          </w:p>
        </w:tc>
        <w:tc>
          <w:tcPr>
            <w:tcW w:type="dxa" w:w="9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173</w:t>
            </w:r>
          </w:p>
        </w:tc>
      </w:tr>
    </w:tbl>
    <w:p>
      <w:pPr>
        <w:spacing w:after="100" w:before="40"/>
      </w:pPr>
    </w:p>
    <w:p>
      <w:pPr>
        <w:spacing w:after="100" w:before="0" w:line="252" w:lineRule="auto"/>
        <w:ind w:firstLine="360"/>
        <w:jc w:val="both"/>
      </w:pPr>
      <w:r>
        <w:rPr>
          <w:rFonts w:ascii="Arial" w:cs="Arial" w:eastAsia="Arial" w:hAnsi="Arial"/>
          <w:sz w:val="19"/>
          <w:szCs w:val="19"/>
        </w:rPr>
        <w:t xml:space="preserve">The asymmetric recall gap is directly traceable to dataset imbalance: 502 major versus 357 minor samples—a 1.4:1 ratio—propagates through augmentation proportionally [6]. Balanced class weighting in RF and ET partially compensates [11], [17], but cannot fully overcome the training deficit. For real-time tutoring applications where minor chord misidentification disrupts immediate feedback [13], this gap warrants targeted minority-class oversampling or cost-sensitive learning in future work [14].</w:t>
      </w:r>
    </w:p>
    <w:p>
      <w:pPr>
        <w:spacing w:after="40" w:before="100"/>
        <w:jc w:val="left"/>
      </w:pPr>
      <w:r>
        <w:rPr>
          <w:rFonts w:ascii="Arial" w:cs="Arial" w:eastAsia="Arial" w:hAnsi="Arial"/>
          <w:b/>
          <w:bCs/>
          <w:sz w:val="19"/>
          <w:szCs w:val="19"/>
        </w:rPr>
        <w:t xml:space="preserve">3.3 Feature Ablation Study</w:t>
      </w:r>
    </w:p>
    <w:p>
      <w:pPr>
        <w:spacing w:after="100" w:before="0" w:line="252" w:lineRule="auto"/>
        <w:ind w:firstLine="360"/>
        <w:jc w:val="both"/>
      </w:pPr>
      <w:r>
        <w:rPr>
          <w:rFonts w:ascii="Arial" w:cs="Arial" w:eastAsia="Arial" w:hAnsi="Arial"/>
          <w:sz w:val="19"/>
          <w:szCs w:val="19"/>
        </w:rPr>
        <w:t xml:space="preserve">The ablation study evaluates progressive feature accumulation using pipeline-based five-fold CV with Extra Trees. Results are drawn directly from notebook execution and presented in Table 3.</w:t>
      </w:r>
    </w:p>
    <w:p>
      <w:pPr>
        <w:spacing w:after="60" w:before="80"/>
      </w:pPr>
      <w:r>
        <w:rPr>
          <w:rFonts w:ascii="Arial" w:cs="Arial" w:eastAsia="Arial" w:hAnsi="Arial"/>
          <w:b/>
          <w:bCs/>
          <w:i/>
          <w:iCs/>
          <w:sz w:val="17"/>
          <w:szCs w:val="17"/>
        </w:rPr>
        <w:t xml:space="preserve">Table 3. Feature Ablation Study (Extra Trees, 5-Fold CV)</w:t>
      </w:r>
    </w:p>
    <w:tbl>
      <w:tblPr>
        <w:tblW w:type="dxa" w:w="4920"/>
        <w:tblBorders>
          <w:top w:val="single" w:color="auto" w:sz="4"/>
          <w:left w:val="single" w:color="auto" w:sz="4"/>
          <w:bottom w:val="single" w:color="auto" w:sz="4"/>
          <w:right w:val="single" w:color="auto" w:sz="4"/>
          <w:insideH w:val="single" w:color="auto" w:sz="4"/>
          <w:insideV w:val="single" w:color="auto" w:sz="4"/>
        </w:tblBorders>
      </w:tblPr>
      <w:tblGrid>
        <w:gridCol w:w="3100"/>
        <w:gridCol w:w="1040"/>
        <w:gridCol w:w="780"/>
      </w:tblGrid>
      <w:tr>
        <w:tc>
          <w:tcPr>
            <w:tcW w:type="dxa" w:w="310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Feature Set (Cumulative)</w:t>
            </w:r>
          </w:p>
        </w:tc>
        <w:tc>
          <w:tcPr>
            <w:tcW w:type="dxa" w:w="104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Acc. (%)</w:t>
            </w:r>
          </w:p>
        </w:tc>
        <w:tc>
          <w:tcPr>
            <w:tcW w:type="dxa" w:w="780"/>
            <w:tcBorders>
              <w:top w:val="single" w:color="AAAAAA" w:sz="1"/>
              <w:left w:val="single" w:color="AAAAAA" w:sz="1"/>
              <w:bottom w:val="single" w:color="AAAAAA" w:sz="1"/>
              <w:right w:val="single" w:color="AAAAAA" w:sz="1"/>
            </w:tcBorders>
            <w:shd w:fill="2E4057" w:val="clear"/>
            <w:tcMar>
              <w:top w:type="dxa" w:w="50"/>
              <w:left w:type="dxa" w:w="90"/>
              <w:bottom w:type="dxa" w:w="50"/>
              <w:right w:type="dxa" w:w="90"/>
            </w:tcMar>
            <w:vAlign w:val="center"/>
          </w:tcPr>
          <w:p>
            <w:pPr>
              <w:jc w:val="center"/>
            </w:pPr>
            <w:r>
              <w:rPr>
                <w:rFonts w:ascii="Arial" w:cs="Arial" w:eastAsia="Arial" w:hAnsi="Arial"/>
                <w:b/>
                <w:bCs/>
                <w:color w:val="FFFFFF"/>
                <w:sz w:val="17"/>
                <w:szCs w:val="17"/>
              </w:rPr>
              <w:t xml:space="preserve">Std</w:t>
            </w:r>
          </w:p>
        </w:tc>
      </w:tr>
      <w:tr>
        <w:tc>
          <w:tcPr>
            <w:tcW w:type="dxa" w:w="31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Chroma CENS (36)</w:t>
            </w:r>
          </w:p>
        </w:tc>
        <w:tc>
          <w:tcPr>
            <w:tcW w:type="dxa" w:w="104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97.81</w:t>
            </w:r>
          </w:p>
        </w:tc>
        <w:tc>
          <w:tcPr>
            <w:tcW w:type="dxa" w:w="7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±0.42</w:t>
            </w:r>
          </w:p>
        </w:tc>
      </w:tr>
      <w:tr>
        <w:tc>
          <w:tcPr>
            <w:tcW w:type="dxa" w:w="31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 Tonnetz (48)</w:t>
            </w:r>
          </w:p>
        </w:tc>
        <w:tc>
          <w:tcPr>
            <w:tcW w:type="dxa" w:w="104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97.62</w:t>
            </w:r>
          </w:p>
        </w:tc>
        <w:tc>
          <w:tcPr>
            <w:tcW w:type="dxa" w:w="7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±0.40</w:t>
            </w:r>
          </w:p>
        </w:tc>
      </w:tr>
      <w:tr>
        <w:tc>
          <w:tcPr>
            <w:tcW w:type="dxa" w:w="31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 Spectral Contrast (62)</w:t>
            </w:r>
          </w:p>
        </w:tc>
        <w:tc>
          <w:tcPr>
            <w:tcW w:type="dxa" w:w="104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97.50</w:t>
            </w:r>
          </w:p>
        </w:tc>
        <w:tc>
          <w:tcPr>
            <w:tcW w:type="dxa" w:w="7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±0.40</w:t>
            </w:r>
          </w:p>
        </w:tc>
      </w:tr>
      <w:tr>
        <w:tc>
          <w:tcPr>
            <w:tcW w:type="dxa" w:w="31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 MFCC (142)</w:t>
            </w:r>
          </w:p>
        </w:tc>
        <w:tc>
          <w:tcPr>
            <w:tcW w:type="dxa" w:w="104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97.28</w:t>
            </w:r>
          </w:p>
        </w:tc>
        <w:tc>
          <w:tcPr>
            <w:tcW w:type="dxa" w:w="7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±0.39</w:t>
            </w:r>
          </w:p>
        </w:tc>
      </w:tr>
      <w:tr>
        <w:tc>
          <w:tcPr>
            <w:tcW w:type="dxa" w:w="31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 Delta-MFCC (222)</w:t>
            </w:r>
          </w:p>
        </w:tc>
        <w:tc>
          <w:tcPr>
            <w:tcW w:type="dxa" w:w="104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96.99</w:t>
            </w:r>
          </w:p>
        </w:tc>
        <w:tc>
          <w:tcPr>
            <w:tcW w:type="dxa" w:w="7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±0.48</w:t>
            </w:r>
          </w:p>
        </w:tc>
      </w:tr>
      <w:tr>
        <w:tc>
          <w:tcPr>
            <w:tcW w:type="dxa" w:w="31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 Scalar Descriptors (230)</w:t>
            </w:r>
          </w:p>
        </w:tc>
        <w:tc>
          <w:tcPr>
            <w:tcW w:type="dxa" w:w="104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96.94</w:t>
            </w:r>
          </w:p>
        </w:tc>
        <w:tc>
          <w:tcPr>
            <w:tcW w:type="dxa" w:w="7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±0.41</w:t>
            </w:r>
          </w:p>
        </w:tc>
      </w:tr>
      <w:tr>
        <w:tc>
          <w:tcPr>
            <w:tcW w:type="dxa" w:w="31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 Harmonic Intervals raw (237)</w:t>
            </w:r>
          </w:p>
        </w:tc>
        <w:tc>
          <w:tcPr>
            <w:tcW w:type="dxa" w:w="104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97.08</w:t>
            </w:r>
          </w:p>
        </w:tc>
        <w:tc>
          <w:tcPr>
            <w:tcW w:type="dxa" w:w="7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±0.65</w:t>
            </w:r>
          </w:p>
        </w:tc>
      </w:tr>
      <w:tr>
        <w:tc>
          <w:tcPr>
            <w:tcW w:type="dxa" w:w="310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bCs/>
                <w:color w:val="000000"/>
                <w:sz w:val="18"/>
                <w:szCs w:val="18"/>
              </w:rPr>
              <w:t xml:space="preserve">Full System — 244 features</w:t>
            </w:r>
          </w:p>
        </w:tc>
        <w:tc>
          <w:tcPr>
            <w:tcW w:type="dxa" w:w="104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96.91</w:t>
            </w:r>
          </w:p>
        </w:tc>
        <w:tc>
          <w:tcPr>
            <w:tcW w:type="dxa" w:w="780"/>
            <w:tcBorders>
              <w:top w:val="single" w:color="AAAAAA" w:sz="1"/>
              <w:left w:val="single" w:color="AAAAAA" w:sz="1"/>
              <w:bottom w:val="single" w:color="AAAAAA" w:sz="1"/>
              <w:right w:val="single" w:color="AAAAAA" w:sz="1"/>
            </w:tcBorders>
            <w:shd w:fill="F7F7F7" w:val="clear"/>
            <w:tcMar>
              <w:top w:type="dxa" w:w="50"/>
              <w:left w:type="dxa" w:w="90"/>
              <w:bottom w:type="dxa" w:w="50"/>
              <w:right w:type="dxa" w:w="90"/>
            </w:tcMar>
            <w:vAlign w:val="center"/>
          </w:tcPr>
          <w:p>
            <w:pPr>
              <w:jc w:val="center"/>
            </w:pPr>
            <w:r>
              <w:rPr>
                <w:rFonts w:ascii="Arial" w:cs="Arial" w:eastAsia="Arial" w:hAnsi="Arial"/>
                <w:b w:val="false"/>
                <w:bCs w:val="false"/>
                <w:color w:val="000000"/>
                <w:sz w:val="18"/>
                <w:szCs w:val="18"/>
              </w:rPr>
              <w:t xml:space="preserve">±0.35</w:t>
            </w:r>
          </w:p>
        </w:tc>
      </w:tr>
    </w:tbl>
    <w:p>
      <w:pPr>
        <w:spacing w:after="100" w:before="40"/>
      </w:pPr>
    </w:p>
    <w:p>
      <w:pPr>
        <w:spacing w:after="100" w:before="0" w:line="252" w:lineRule="auto"/>
        <w:ind w:firstLine="360"/>
        <w:jc w:val="both"/>
      </w:pPr>
      <w:r>
        <w:rPr>
          <w:rFonts w:ascii="Arial" w:cs="Arial" w:eastAsia="Arial" w:hAnsi="Arial"/>
          <w:sz w:val="19"/>
          <w:szCs w:val="19"/>
        </w:rPr>
        <w:t xml:space="preserve">Chroma CENS alone achieves 97.81%—the highest single-configuration accuracy in the ablation, and higher than the full 244-dimensional system (96.91%) when both are evaluated under a single Extra Trees model. Every subsequent feature group marginally reduces accuracy. This is a dimensionality effect on a moderate-sized corpus [3], [6]. Tree-based models cannot efficiently partition 244 dimensions from ~4,000 training samples without some degradation [18].</w:t>
      </w:r>
    </w:p>
    <w:p>
      <w:pPr>
        <w:spacing w:after="100" w:before="0" w:line="252" w:lineRule="auto"/>
        <w:ind w:firstLine="360"/>
        <w:jc w:val="both"/>
      </w:pPr>
      <w:r>
        <w:rPr>
          <w:rFonts w:ascii="Arial" w:cs="Arial" w:eastAsia="Arial" w:hAnsi="Arial"/>
          <w:sz w:val="19"/>
          <w:szCs w:val="19"/>
        </w:rPr>
        <w:t xml:space="preserve">The full-system ensemble nonetheless achieves 97.40%—above the chroma-only ablation—because soft-voting across three learners leverages feature diversity more effectively than any single estimator can. Richer features benefit ensemble diversity more than they benefit individual models on small datasets [6], [9]. Tonnetz and spectral contrast appear to act as robustness contributors rather than primary discriminators: their inclusion narrows cross-validation standard deviation, suggesting they stabilize prediction on difficult edge cases [7], [16].</w:t>
      </w:r>
    </w:p>
    <w:p>
      <w:pPr>
        <w:spacing w:after="40" w:before="100"/>
        <w:jc w:val="left"/>
      </w:pPr>
      <w:r>
        <w:rPr>
          <w:rFonts w:ascii="Arial" w:cs="Arial" w:eastAsia="Arial" w:hAnsi="Arial"/>
          <w:b/>
          <w:bCs/>
          <w:sz w:val="19"/>
          <w:szCs w:val="19"/>
        </w:rPr>
        <w:t xml:space="preserve">3.4 SHAP Attribution and Harmonic Sensitivity</w:t>
      </w:r>
    </w:p>
    <w:p>
      <w:pPr>
        <w:spacing w:after="100" w:before="0" w:line="252" w:lineRule="auto"/>
        <w:ind w:firstLine="360"/>
        <w:jc w:val="both"/>
      </w:pPr>
      <w:r>
        <w:rPr>
          <w:rFonts w:ascii="Arial" w:cs="Arial" w:eastAsia="Arial" w:hAnsi="Arial"/>
          <w:sz w:val="19"/>
          <w:szCs w:val="19"/>
        </w:rPr>
        <w:t xml:space="preserve">SHAP attribution on the XGBoost classifier identifies chroma_mean_4 and chroma_mean_3—mean Chroma CENS energy at the fourth and third pitch classes relative to the detected root—as the two most influential features. This is exactly what music theory predicts: major chords concentrate energy at the major third (fourth semitone above root), while minor chords concentrate at the minor third (third semitone) [1], [3]. The root-relative circular shifting of the chroma vector makes this distinction explicitly learnable [3], [27].</w:t>
      </w:r>
    </w:p>
    <w:p>
      <w:pPr>
        <w:spacing w:after="100" w:before="0" w:line="252" w:lineRule="auto"/>
        <w:ind w:firstLine="360"/>
        <w:jc w:val="both"/>
      </w:pPr>
      <w:r>
        <w:rPr>
          <w:rFonts w:ascii="Arial" w:cs="Arial" w:eastAsia="Arial" w:hAnsi="Arial"/>
          <w:sz w:val="19"/>
          <w:szCs w:val="19"/>
        </w:rPr>
        <w:t xml:space="preserve">Harmonic interval features interval_2 and interval_3 appear within the top five SHAP contributors, confirming that FFT-derived ratios provide discriminative information independent of chroma—a complementarity that justifies retaining both representations [2], [5], [6]. Harmonic ablation across one to eight retained harmonics produces remarkably stable results (96.91%–97.08%), confirming that h₁/h₀ encodes the critical distinction directly, and that Chroma CENS subsumes most of what higher harmonics would contribute [1], [6], [20].</w:t>
      </w:r>
    </w:p>
    <w:p>
      <w:pPr>
        <w:spacing w:after="60" w:before="160"/>
        <w:jc w:val="left"/>
      </w:pPr>
      <w:r>
        <w:rPr>
          <w:rFonts w:ascii="Arial" w:cs="Arial" w:eastAsia="Arial" w:hAnsi="Arial"/>
          <w:b/>
          <w:bCs/>
          <w:color w:val="2E4057"/>
          <w:sz w:val="20"/>
          <w:szCs w:val="20"/>
        </w:rPr>
        <w:t xml:space="preserve">4. CONCLUSION</w:t>
      </w:r>
    </w:p>
    <w:p>
      <w:pPr>
        <w:spacing w:after="100" w:before="0" w:line="252" w:lineRule="auto"/>
        <w:ind w:firstLine="360"/>
        <w:jc w:val="both"/>
      </w:pPr>
      <w:r>
        <w:rPr>
          <w:rFonts w:ascii="Arial" w:cs="Arial" w:eastAsia="Arial" w:hAnsi="Arial"/>
          <w:sz w:val="19"/>
          <w:szCs w:val="19"/>
        </w:rPr>
        <w:t xml:space="preserve">This paper presents a soft-voting ensemble of Random Forest, Extra Trees, and XGBoost for binary guitar chord classification, achieving 97.40% ± 0.60% five-fold stratified cross-validation accuracy on 859 audio samples—a 3.4 percentage point gain over the 94% baseline of [6]. Four design choices drive this improvement: a 244-dimensional feature vector fusing FFT harmonic intervals with Chroma CENS, Tonnetz, spectral contrast, MFCC, and delta-MFCC representations [3], [4], [7]; training-only six-fold augmentation expanding the corpus to 4,116 samples [14]; calibrated soft-voting with weights [1, 1.5, 1.5] reflecting ET and XGB superiority [6]; and leakage-free within-fold StandardScaler normalization [11], [17].</w:t>
      </w:r>
    </w:p>
    <w:p>
      <w:pPr>
        <w:spacing w:after="100" w:before="0" w:line="252" w:lineRule="auto"/>
        <w:ind w:firstLine="360"/>
        <w:jc w:val="both"/>
      </w:pPr>
      <w:r>
        <w:rPr>
          <w:rFonts w:ascii="Arial" w:cs="Arial" w:eastAsia="Arial" w:hAnsi="Arial"/>
          <w:sz w:val="19"/>
          <w:szCs w:val="19"/>
        </w:rPr>
        <w:t xml:space="preserve">The ablation study's most practically useful finding is that Chroma CENS alone may suffice for resource-constrained systems—36 dimensions, 97.81% cross-validation accuracy, and clear music-theoretic grounding in third-interval pitch class energy [3], [20]. The full ensemble becomes worthwhile when robustness across diverse recording conditions matters more than computational simplicity [6], [9].</w:t>
      </w:r>
    </w:p>
    <w:p>
      <w:pPr>
        <w:spacing w:after="100" w:before="0" w:line="252" w:lineRule="auto"/>
        <w:ind w:firstLine="360"/>
        <w:jc w:val="both"/>
      </w:pPr>
      <w:r>
        <w:rPr>
          <w:rFonts w:ascii="Arial" w:cs="Arial" w:eastAsia="Arial" w:hAnsi="Arial"/>
          <w:sz w:val="19"/>
          <w:szCs w:val="19"/>
        </w:rPr>
        <w:t xml:space="preserve">The minor-class recall gap (0.92 versus 0.99) remains the pipeline's most pressing limitation—a class imbalance problem that balanced weighting only partially addresses [11], [17]. Future directions include targeted minority oversampling, stacking with a learned meta-learner, CNN-based end-to-end learning on mel spectrograms [7], [8], and integration into low-latency real-time tutoring systems [9], [13]. Expanding the corpus to cover more root notes, voicings, and extended chord qualities [14], [15] would test generalization limits that the current pipeline has not yet encountered [16], [24].</w:t>
      </w:r>
    </w:p>
    <w:p>
      <w:pPr>
        <w:spacing w:after="60" w:before="160"/>
        <w:jc w:val="left"/>
      </w:pPr>
      <w:r>
        <w:rPr>
          <w:rFonts w:ascii="Arial" w:cs="Arial" w:eastAsia="Arial" w:hAnsi="Arial"/>
          <w:b/>
          <w:bCs/>
          <w:color w:val="2E4057"/>
          <w:sz w:val="20"/>
          <w:szCs w:val="20"/>
        </w:rPr>
        <w:t xml:space="preserve">REFERENCES</w:t>
      </w:r>
    </w:p>
    <w:p>
      <w:pPr>
        <w:spacing w:after="55" w:before="0"/>
        <w:ind w:left="360" w:hanging="360"/>
        <w:jc w:val="both"/>
      </w:pPr>
      <w:r>
        <w:rPr>
          <w:rFonts w:ascii="Arial" w:cs="Arial" w:eastAsia="Arial" w:hAnsi="Arial"/>
          <w:color w:val="222222"/>
          <w:sz w:val="17"/>
          <w:szCs w:val="17"/>
        </w:rPr>
        <w:t xml:space="preserve">[1] J. Guerrero-Turrubiates, S. Ledesma, S. González-Reyna, and G. Avina-Cervantes, "Guitar Chords Classification Using Uncertainty Measurements of Frequency Bins," Mathematical Problems in Engineering, vol. 2015, 2015.</w:t>
      </w:r>
    </w:p>
    <w:p>
      <w:pPr>
        <w:spacing w:after="55" w:before="0"/>
        <w:ind w:left="360" w:hanging="360"/>
        <w:jc w:val="both"/>
      </w:pPr>
      <w:r>
        <w:rPr>
          <w:rFonts w:ascii="Arial" w:cs="Arial" w:eastAsia="Arial" w:hAnsi="Arial"/>
          <w:color w:val="222222"/>
          <w:sz w:val="17"/>
          <w:szCs w:val="17"/>
        </w:rPr>
        <w:t xml:space="preserve">[2] J. De Jesus Guerrero-Turrubiates et al., "Guitar audio signal classification by collapsed Pitch Class Profile," in Proc. 2016 IEEE International Autumn Meeting on Power, Electronics and Computing (ROPEC), 2016, pp. 1–6.</w:t>
      </w:r>
    </w:p>
    <w:p>
      <w:pPr>
        <w:spacing w:after="55" w:before="0"/>
        <w:ind w:left="360" w:hanging="360"/>
        <w:jc w:val="both"/>
      </w:pPr>
      <w:r>
        <w:rPr>
          <w:rFonts w:ascii="Arial" w:cs="Arial" w:eastAsia="Arial" w:hAnsi="Arial"/>
          <w:color w:val="222222"/>
          <w:sz w:val="17"/>
          <w:szCs w:val="17"/>
        </w:rPr>
        <w:t xml:space="preserve">[3] F. Korzeniowski and G. Widmer, "Feature Learning for Chord Recognition: The Deep Chroma Extractor," arXiv:1612.05065, 2016.</w:t>
      </w:r>
    </w:p>
    <w:p>
      <w:pPr>
        <w:spacing w:after="55" w:before="0"/>
        <w:ind w:left="360" w:hanging="360"/>
        <w:jc w:val="both"/>
      </w:pPr>
      <w:r>
        <w:rPr>
          <w:rFonts w:ascii="Arial" w:cs="Arial" w:eastAsia="Arial" w:hAnsi="Arial"/>
          <w:color w:val="222222"/>
          <w:sz w:val="17"/>
          <w:szCs w:val="17"/>
        </w:rPr>
        <w:t xml:space="preserve">[4] L. Sumarno, "The Performance of MFCC Feature Extraction for Guitar Chord Recognition," in VII International Conference 'Safety Problems of Civil Engineering Critical Infrastructures,' 2023.</w:t>
      </w:r>
    </w:p>
    <w:p>
      <w:pPr>
        <w:spacing w:after="55" w:before="0"/>
        <w:ind w:left="360" w:hanging="360"/>
        <w:jc w:val="both"/>
      </w:pPr>
      <w:r>
        <w:rPr>
          <w:rFonts w:ascii="Arial" w:cs="Arial" w:eastAsia="Arial" w:hAnsi="Arial"/>
          <w:color w:val="222222"/>
          <w:sz w:val="17"/>
          <w:szCs w:val="17"/>
        </w:rPr>
        <w:t xml:space="preserve">[5] L. Sumarno, "Chord Recognition using FFT Based Segment Averaging and Subsampling Feature Extraction," in Proc. 2020 8th International Conference on Information and Communication Technology (ICoICT), 2020, pp. 1–5.</w:t>
      </w:r>
    </w:p>
    <w:p>
      <w:pPr>
        <w:spacing w:after="55" w:before="0"/>
        <w:ind w:left="360" w:hanging="360"/>
        <w:jc w:val="both"/>
      </w:pPr>
      <w:r>
        <w:rPr>
          <w:rFonts w:ascii="Arial" w:cs="Arial" w:eastAsia="Arial" w:hAnsi="Arial"/>
          <w:color w:val="222222"/>
          <w:sz w:val="17"/>
          <w:szCs w:val="17"/>
        </w:rPr>
        <w:t xml:space="preserve">[6] S. Sharma et al., "Advanced Harmonic Feature Utilization in Ensemble Learning for Guitar Chord Classification," in Proc. 2025 IEEE 2nd International Conference on Information Technology, Electronics and Intelligent Communication Systems (ICITEICS), 2025, pp. 1–6.</w:t>
      </w:r>
    </w:p>
    <w:p>
      <w:pPr>
        <w:spacing w:after="55" w:before="0"/>
        <w:ind w:left="360" w:hanging="360"/>
        <w:jc w:val="both"/>
      </w:pPr>
      <w:r>
        <w:rPr>
          <w:rFonts w:ascii="Arial" w:cs="Arial" w:eastAsia="Arial" w:hAnsi="Arial"/>
          <w:color w:val="222222"/>
          <w:sz w:val="17"/>
          <w:szCs w:val="17"/>
        </w:rPr>
        <w:t xml:space="preserve">[7] W. Tang and L. Gu, "Harmonic Classification with Enhancing Music Using Deep Learning Techniques," Complex., vol. 2021, Art. no. 5590996, 2021.</w:t>
      </w:r>
    </w:p>
    <w:p>
      <w:pPr>
        <w:spacing w:after="55" w:before="0"/>
        <w:ind w:left="360" w:hanging="360"/>
        <w:jc w:val="both"/>
      </w:pPr>
      <w:r>
        <w:rPr>
          <w:rFonts w:ascii="Arial" w:cs="Arial" w:eastAsia="Arial" w:hAnsi="Arial"/>
          <w:color w:val="222222"/>
          <w:sz w:val="17"/>
          <w:szCs w:val="17"/>
        </w:rPr>
        <w:t xml:space="preserve">[8] Y. Wu and W. Li, "Automatic Audio Chord Recognition With MIDI-Trained Deep Feature and BLSTM-CRF Sequence Decoding Model," IEEE/ACM Transactions on Audio, Speech, and Language Processing, vol. 27, pp. 355–366, 2019.</w:t>
      </w:r>
    </w:p>
    <w:p>
      <w:pPr>
        <w:spacing w:after="55" w:before="0"/>
        <w:ind w:left="360" w:hanging="360"/>
        <w:jc w:val="both"/>
      </w:pPr>
      <w:r>
        <w:rPr>
          <w:rFonts w:ascii="Arial" w:cs="Arial" w:eastAsia="Arial" w:hAnsi="Arial"/>
          <w:color w:val="222222"/>
          <w:sz w:val="17"/>
          <w:szCs w:val="17"/>
        </w:rPr>
        <w:t xml:space="preserve">[9] T. Carsault, J. Nika, P. Esling, and G. Assayag, "Combining Real-Time Extraction and Prediction of Musical Chord Progressions for Creative Applications," Electronics, 2021.</w:t>
      </w:r>
    </w:p>
    <w:p>
      <w:pPr>
        <w:spacing w:after="55" w:before="0"/>
        <w:ind w:left="360" w:hanging="360"/>
        <w:jc w:val="both"/>
      </w:pPr>
      <w:r>
        <w:rPr>
          <w:rFonts w:ascii="Arial" w:cs="Arial" w:eastAsia="Arial" w:hAnsi="Arial"/>
          <w:color w:val="222222"/>
          <w:sz w:val="17"/>
          <w:szCs w:val="17"/>
        </w:rPr>
        <w:t xml:space="preserve">[10] N. Monnier, D. Ghali, and S. Liu, "FFT and Machine Learning Application on Major Chord Recognition," in Proc. 2021 Twelfth International Conference on Ubiquitous and Future Networks (ICUFN), 2021, pp. 426–429.</w:t>
      </w:r>
    </w:p>
    <w:p>
      <w:pPr>
        <w:spacing w:after="55" w:before="0"/>
        <w:ind w:left="360" w:hanging="360"/>
        <w:jc w:val="both"/>
      </w:pPr>
      <w:r>
        <w:rPr>
          <w:rFonts w:ascii="Arial" w:cs="Arial" w:eastAsia="Arial" w:hAnsi="Arial"/>
          <w:color w:val="222222"/>
          <w:sz w:val="17"/>
          <w:szCs w:val="17"/>
        </w:rPr>
        <w:t xml:space="preserve">[11] N. Sharma et al., "Comparative Analysis of Gaussian Naïve Bayes with Bernoulli Naïve Bayes for Guitar Chord Classification," in Proc. 2024 Eighth International Conference on Parallel, Distributed and Grid Computing (PDGC), 2024, pp. 416–420.</w:t>
      </w:r>
    </w:p>
    <w:p>
      <w:pPr>
        <w:spacing w:after="55" w:before="0"/>
        <w:ind w:left="360" w:hanging="360"/>
        <w:jc w:val="both"/>
      </w:pPr>
      <w:r>
        <w:rPr>
          <w:rFonts w:ascii="Arial" w:cs="Arial" w:eastAsia="Arial" w:hAnsi="Arial"/>
          <w:color w:val="222222"/>
          <w:sz w:val="17"/>
          <w:szCs w:val="17"/>
        </w:rPr>
        <w:t xml:space="preserve">[12] K. R. Ahmed et al., "Empirical Analysis of Sigmoid Calibration on Gaussian Naïve Bayes Performance for Guitar Chords Classification," in Proc. 2025 International Conference on Next Generation Communication &amp; Information Processing (INCIP), 2025, pp. 293–297.</w:t>
      </w:r>
    </w:p>
    <w:p>
      <w:pPr>
        <w:spacing w:after="55" w:before="0"/>
        <w:ind w:left="360" w:hanging="360"/>
        <w:jc w:val="both"/>
      </w:pPr>
      <w:r>
        <w:rPr>
          <w:rFonts w:ascii="Arial" w:cs="Arial" w:eastAsia="Arial" w:hAnsi="Arial"/>
          <w:color w:val="222222"/>
          <w:sz w:val="17"/>
          <w:szCs w:val="17"/>
        </w:rPr>
        <w:t xml:space="preserve">[13] D. A. Talavera, E. Nase, L. Pancho, and A. Ilao, "Transcription of Guitar Chords from Acoustic Audio," Journal of Advances in Information Technology, 2020.</w:t>
      </w:r>
    </w:p>
    <w:p>
      <w:pPr>
        <w:spacing w:after="55" w:before="0"/>
        <w:ind w:left="360" w:hanging="360"/>
        <w:jc w:val="both"/>
      </w:pPr>
      <w:r>
        <w:rPr>
          <w:rFonts w:ascii="Arial" w:cs="Arial" w:eastAsia="Arial" w:hAnsi="Arial"/>
          <w:color w:val="222222"/>
          <w:sz w:val="17"/>
          <w:szCs w:val="17"/>
        </w:rPr>
        <w:t xml:space="preserve">[14] G. Byambatsogt, L. Choimaa, and G. Koutaki, "Guitar Chord Sensing and Recognition Using Multi-Task Learning and Physical Data Augmentation with Robotics," Sensors, vol. 20, 2020.</w:t>
      </w:r>
    </w:p>
    <w:p>
      <w:pPr>
        <w:spacing w:after="55" w:before="0"/>
        <w:ind w:left="360" w:hanging="360"/>
        <w:jc w:val="both"/>
      </w:pPr>
      <w:r>
        <w:rPr>
          <w:rFonts w:ascii="Arial" w:cs="Arial" w:eastAsia="Arial" w:hAnsi="Arial"/>
          <w:color w:val="222222"/>
          <w:sz w:val="17"/>
          <w:szCs w:val="17"/>
        </w:rPr>
        <w:t xml:space="preserve">[15] S. S. Pscse, N. Sharma, S. Sharma, S. A. Ahmed, C. Kanmani, and A. Raheen, "Indian Classical Percussion Instrument Tabla Taal Classification using Fast Converging CNN," p. 2025, doi: 10.1109/AIC.2025.105.</w:t>
      </w:r>
    </w:p>
    <w:p>
      <w:pPr>
        <w:spacing w:after="55" w:before="0"/>
        <w:ind w:left="360" w:hanging="360"/>
        <w:jc w:val="both"/>
      </w:pPr>
      <w:r>
        <w:rPr>
          <w:rFonts w:ascii="Arial" w:cs="Arial" w:eastAsia="Arial" w:hAnsi="Arial"/>
          <w:color w:val="222222"/>
          <w:sz w:val="17"/>
          <w:szCs w:val="17"/>
        </w:rPr>
        <w:t xml:space="preserve">[16] S. Sharma, B. K, P. K. K. S, S. A. Ahmed, A. B, and A. H. S, "Analysis of Ablated Accuracy on Features in Carnatic Music Raga Classification with improved Jaccard Similarity Index," in 2025 2nd International Conference on New Frontiers in Communication, Automation, Management and Security (ICCAMS), 2025, pp. 1–7. doi: 10.1109/ICCAMS65118.2025.11233859.</w:t>
      </w:r>
    </w:p>
    <w:p>
      <w:pPr>
        <w:spacing w:after="55" w:before="0"/>
        <w:ind w:left="360" w:hanging="360"/>
        <w:jc w:val="both"/>
      </w:pPr>
      <w:r>
        <w:rPr>
          <w:rFonts w:ascii="Arial" w:cs="Arial" w:eastAsia="Arial" w:hAnsi="Arial"/>
          <w:color w:val="222222"/>
          <w:sz w:val="17"/>
          <w:szCs w:val="17"/>
        </w:rPr>
        <w:t xml:space="preserve">[17] N. Sharma, S. Sharma, C. B. Reddy, M. A, B. P, and A. T, "Analysis of Isotonic Calibration on Gaussian Naïve Bayes Performance for Guitar Chords Classification," in 2025 International Conference on Automation and Computation (AUTOCOM), 2025, pp. 15–19. doi: 10.1109/AUTOCOM64127.2025.10956982.</w:t>
      </w:r>
    </w:p>
    <w:p>
      <w:pPr>
        <w:spacing w:after="55" w:before="0"/>
        <w:ind w:left="360" w:hanging="360"/>
        <w:jc w:val="both"/>
      </w:pPr>
      <w:r>
        <w:rPr>
          <w:rFonts w:ascii="Arial" w:cs="Arial" w:eastAsia="Arial" w:hAnsi="Arial"/>
          <w:color w:val="222222"/>
          <w:sz w:val="17"/>
          <w:szCs w:val="17"/>
        </w:rPr>
        <w:t xml:space="preserve">[18] N. Sharma, S. Sharma, P. T, S. E, A. M, and S. Dass, "Hyper Parametric Analysis of Multi-Layer Perceptron for Music Genre Classification," in 2024 International Conference on Recent Innovation in Smart and Sustainable Technology (ICRISST), Mar. 2024, pp. 1–4. doi: 10.1109/ICRISST59181.2024.10921894.</w:t>
      </w:r>
    </w:p>
    <w:p>
      <w:pPr>
        <w:spacing w:after="55" w:before="0"/>
        <w:ind w:left="360" w:hanging="360"/>
        <w:jc w:val="both"/>
      </w:pPr>
      <w:r>
        <w:rPr>
          <w:rFonts w:ascii="Arial" w:cs="Arial" w:eastAsia="Arial" w:hAnsi="Arial"/>
          <w:color w:val="222222"/>
          <w:sz w:val="17"/>
          <w:szCs w:val="17"/>
        </w:rPr>
        <w:t xml:space="preserve">[19] S. Sharma, N. Sharma, A. Sindgi, A. Malhan, P. T, and S. E, "Performance Analysis of FTRL algorithm for Dense and Deep Model of Music Mood Classification," in 2024 International Conference on Recent Innovation in Smart and Sustainable Technology (ICRISST), Mar. 2024, pp. 1–4. doi: 10.1109/ICRISST59181.2024.10921949.</w:t>
      </w:r>
    </w:p>
    <w:p>
      <w:pPr>
        <w:spacing w:after="55" w:before="0"/>
        <w:ind w:left="360" w:hanging="360"/>
        <w:jc w:val="both"/>
      </w:pPr>
      <w:r>
        <w:rPr>
          <w:rFonts w:ascii="Arial" w:cs="Arial" w:eastAsia="Arial" w:hAnsi="Arial"/>
          <w:color w:val="222222"/>
          <w:sz w:val="17"/>
          <w:szCs w:val="17"/>
        </w:rPr>
        <w:t xml:space="preserve">[20] N. Sharma and S. Sharma, "A Customizable Mathematical Model for Determining the Difficulty of Guitar Triad Chords for Machine Learning," in Lecture Notes in Networks and Systems, Springer Science and Business Media Deutschland GmbH, 2023, pp. 667–679. doi: 10.1007/978-981-99-2322-9_51.</w:t>
      </w:r>
    </w:p>
    <w:p>
      <w:pPr>
        <w:spacing w:after="55" w:before="0"/>
        <w:ind w:left="360" w:hanging="360"/>
        <w:jc w:val="both"/>
      </w:pPr>
      <w:r>
        <w:rPr>
          <w:rFonts w:ascii="Arial" w:cs="Arial" w:eastAsia="Arial" w:hAnsi="Arial"/>
          <w:color w:val="222222"/>
          <w:sz w:val="17"/>
          <w:szCs w:val="17"/>
        </w:rPr>
        <w:t xml:space="preserve">[21] N. Sharma and S. Sharma, "Optimization of t-SNE by Tuning Perplexity for Dimensionality Reduction in NLP," in Proceedings of International Conference on Communication and Computational Technologies, Algorithms for Intelligent Systems, Springer Nature Singapore Pte Ltd. 2023, 2023, pp. 519–528. doi: 10.1007/978-981-99-3485-0_41.</w:t>
      </w:r>
    </w:p>
    <w:p>
      <w:pPr>
        <w:spacing w:after="55" w:before="0"/>
        <w:ind w:left="360" w:hanging="360"/>
        <w:jc w:val="both"/>
      </w:pPr>
      <w:r>
        <w:rPr>
          <w:rFonts w:ascii="Arial" w:cs="Arial" w:eastAsia="Arial" w:hAnsi="Arial"/>
          <w:color w:val="222222"/>
          <w:sz w:val="17"/>
          <w:szCs w:val="17"/>
        </w:rPr>
        <w:t xml:space="preserve">[22] S. Sharma, A. W. Shovin Wilson, S. Srinivas, and N. Sharma, "Generative AI: A Review of Continuous Evolving Information Generation Perspective," AI Powered Cybersecurity for Banking and Finance how to Enhance Security Protect Data and Prevent Attacks, pp. 449–498, 2025.</w:t>
      </w:r>
    </w:p>
    <w:p>
      <w:pPr>
        <w:spacing w:after="55" w:before="0"/>
        <w:ind w:left="360" w:hanging="360"/>
        <w:jc w:val="both"/>
      </w:pPr>
      <w:r>
        <w:rPr>
          <w:rFonts w:ascii="Arial" w:cs="Arial" w:eastAsia="Arial" w:hAnsi="Arial"/>
          <w:color w:val="222222"/>
          <w:sz w:val="17"/>
          <w:szCs w:val="17"/>
        </w:rPr>
        <w:t xml:space="preserve">[23] N. Sharma and S. Sharma, "Natural Language Processing A study of State of the Art," in AI-Centric Modeling and Analytics: Concepts, Technologies, and Applications, CRC Press, 2023, p. 91.</w:t>
      </w:r>
    </w:p>
    <w:p>
      <w:pPr>
        <w:spacing w:after="55" w:before="0"/>
        <w:ind w:left="360" w:hanging="360"/>
        <w:jc w:val="both"/>
      </w:pPr>
      <w:r>
        <w:rPr>
          <w:rFonts w:ascii="Arial" w:cs="Arial" w:eastAsia="Arial" w:hAnsi="Arial"/>
          <w:color w:val="222222"/>
          <w:sz w:val="17"/>
          <w:szCs w:val="17"/>
        </w:rPr>
        <w:t xml:space="preserve">[24] N. Sharma and S. Sharma, "Human-Interacted Computation System: A State of the Art in Music," in Heterogenous Computational Intelligence in Internet of Things, CRC Press, 2024, pp. 1–17. doi: 10.1201/9781003363606.</w:t>
      </w:r>
    </w:p>
    <w:p>
      <w:pPr>
        <w:spacing w:after="55" w:before="0"/>
        <w:ind w:left="360" w:hanging="360"/>
        <w:jc w:val="both"/>
      </w:pPr>
      <w:r>
        <w:rPr>
          <w:rFonts w:ascii="Arial" w:cs="Arial" w:eastAsia="Arial" w:hAnsi="Arial"/>
          <w:color w:val="222222"/>
          <w:sz w:val="17"/>
          <w:szCs w:val="17"/>
        </w:rPr>
        <w:t xml:space="preserve">[25] J. Yadav, N. Garg, and N. Sharma, "Analysis of Packet loss and Throughput In Heterogeneous Mobile Ad-hoc Networks over UDP," Int. J. Sci. Eng. Res., vol. 4, no. 6, 2013.</w:t>
      </w:r>
    </w:p>
    <w:p>
      <w:pPr>
        <w:spacing w:after="55" w:before="0"/>
        <w:ind w:left="360" w:hanging="360"/>
        <w:jc w:val="both"/>
      </w:pPr>
      <w:r>
        <w:rPr>
          <w:rFonts w:ascii="Arial" w:cs="Arial" w:eastAsia="Arial" w:hAnsi="Arial"/>
          <w:color w:val="222222"/>
          <w:sz w:val="17"/>
          <w:szCs w:val="17"/>
        </w:rPr>
        <w:t xml:space="preserve">[26] N. Sharma, "Analysis of Security Requirements in Wireless Networks and Mobile Ad-hoc Networks," GESJ: Computer Science and Telecommunications, vol. 5, no. 28, 2010.</w:t>
      </w:r>
    </w:p>
    <w:p>
      <w:pPr>
        <w:spacing w:after="55" w:before="0"/>
        <w:ind w:left="360" w:hanging="360"/>
        <w:jc w:val="both"/>
      </w:pPr>
      <w:r>
        <w:rPr>
          <w:rFonts w:ascii="Arial" w:cs="Arial" w:eastAsia="Arial" w:hAnsi="Arial"/>
          <w:color w:val="222222"/>
          <w:sz w:val="17"/>
          <w:szCs w:val="17"/>
        </w:rPr>
        <w:t xml:space="preserve">[27] N. Sharma and S. Sharma, "Performance Enhancement of KNN Classifier for Guitar Chord Tonality Classification," Indian Journal of Natural Sciences, vol. 13, no. 76, pp. 53143–53148, 2023.</w:t>
      </w:r>
    </w:p>
    <w:p>
      <w:pPr>
        <w:spacing w:after="55" w:before="0"/>
        <w:ind w:left="360" w:hanging="360"/>
        <w:jc w:val="both"/>
      </w:pPr>
      <w:r>
        <w:rPr>
          <w:rFonts w:ascii="Arial" w:cs="Arial" w:eastAsia="Arial" w:hAnsi="Arial"/>
          <w:color w:val="222222"/>
          <w:sz w:val="17"/>
          <w:szCs w:val="17"/>
        </w:rPr>
        <w:t xml:space="preserve">[28] N. Sharma, S. Sharma, and A. Sindgi, "Solidity Smart Contract Vulnerabilities, Attack Scenarios, and Mitigation—A Survey," in Proceedings of International Conference on Communication and Computational Technologies, Algorithms for Intelligent Systems, Springer Nature Singapore Pte Ltd. 2023, 2023, pp. 901–910. doi: 10.1007/978-981-99-3485-0_71.</w:t>
      </w:r>
    </w:p>
    <w:p>
      <w:pPr>
        <w:spacing w:after="55" w:before="0"/>
        <w:ind w:left="360" w:hanging="360"/>
        <w:jc w:val="both"/>
      </w:pPr>
      <w:r>
        <w:rPr>
          <w:rFonts w:ascii="Arial" w:cs="Arial" w:eastAsia="Arial" w:hAnsi="Arial"/>
          <w:color w:val="222222"/>
          <w:sz w:val="17"/>
          <w:szCs w:val="17"/>
        </w:rPr>
        <w:t xml:space="preserve">[29] N. Sharma and S. Sharma, "A Survey of Mythril, A Smart Contract Security Analysis Tool for EVM Bytecode," Indian Journal of Natural Sciences, vol. 13, no. 75, pp. 51003–51010, 2022.</w:t>
      </w:r>
    </w:p>
    <w:p>
      <w:pPr>
        <w:spacing w:after="55" w:before="0"/>
        <w:ind w:left="360" w:hanging="360"/>
        <w:jc w:val="both"/>
      </w:pPr>
      <w:r>
        <w:rPr>
          <w:rFonts w:ascii="Arial" w:cs="Arial" w:eastAsia="Arial" w:hAnsi="Arial"/>
          <w:color w:val="222222"/>
          <w:sz w:val="17"/>
          <w:szCs w:val="17"/>
        </w:rPr>
        <w:t xml:space="preserve">[30] S. R. Rammohan, K. Chakravarthi, N. Sharma, S. Sharma, and M. Natarajan, "Systematic Survey on Energy Conservation Using Blockchain for Sustainable Computing Challenges and Roadmaps," 2024, John Wiley and Sons Ltd. doi: 10.1002/acs.3948.</w:t>
      </w:r>
    </w:p>
    <w:sectPr>
      <w:type w:val="continuous"/>
      <w:pgSz w:w="12240" w:h="15840" w:orient="portrait"/>
      <w:pgMar w:top="864" w:right="864" w:bottom="864" w:left="864" w:header="708" w:footer="708" w:gutter="0"/>
      <w:pgNumType/>
      <w:cols w:space="5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2026-05-03T14:51:02.843Z</dcterms:created>
  <dcterms:modified xsi:type="dcterms:W3CDTF">2026-05-03T14:51:02.843Z</dcterms:modified>
</cp:coreProperties>
</file>

<file path=docProps/custom.xml><?xml version="1.0" encoding="utf-8"?>
<Properties xmlns="http://schemas.openxmlformats.org/officeDocument/2006/custom-properties" xmlns:vt="http://schemas.openxmlformats.org/officeDocument/2006/docPropsVTypes"/>
</file>