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Calibri" w:cs="Calibri" w:eastAsia="Calibri" w:hAnsi="Calibri"/>
          <w:b/>
          <w:bCs/>
          <w:color w:val="1E3A5F"/>
          <w:sz w:val="64"/>
          <w:szCs w:val="64"/>
        </w:rPr>
        <w:t xml:space="preserve">FakeRadar</w:t>
      </w:r>
    </w:p>
    <w:p>
      <w:pPr>
        <w:spacing w:after="80"/>
        <w:jc w:val="center"/>
      </w:pPr>
      <w:r>
        <w:rPr>
          <w:rFonts w:ascii="Calibri" w:cs="Calibri" w:eastAsia="Calibri" w:hAnsi="Calibri"/>
          <w:color w:val="475569"/>
          <w:sz w:val="32"/>
          <w:szCs w:val="32"/>
        </w:rPr>
        <w:t xml:space="preserve">Fake Engagement Detection in Social Media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E3A5F" w:val="clear"/>
            <w:tcMar>
              <w:top w:type="dxa" w:w="200"/>
              <w:left w:type="dxa" w:w="120"/>
              <w:bottom w:type="dxa" w:w="200"/>
              <w:right w:type="dxa" w:w="120"/>
            </w:tcMar>
          </w:tcPr>
          <w:p>
            <w:pPr>
              <w:jc w:val="center"/>
            </w:pPr>
            <w:r>
              <w:rPr>
                <w:rFonts w:ascii="Calibri" w:cs="Calibri" w:eastAsia="Calibri" w:hAnsi="Calibri"/>
                <w:b/>
                <w:bCs/>
                <w:color w:val="FFFFFF"/>
                <w:sz w:val="20"/>
                <w:szCs w:val="20"/>
              </w:rPr>
              <w:t xml:space="preserve">AUC-ROC</w:t>
            </w:r>
            <w:r>
              <w:br/>
            </w:r>
            <w:r>
              <w:rPr>
                <w:rFonts w:ascii="Calibri" w:cs="Calibri" w:eastAsia="Calibri" w:hAnsi="Calibri"/>
                <w:b/>
                <w:bCs/>
                <w:color w:val="2DD4BF"/>
                <w:sz w:val="40"/>
                <w:szCs w:val="40"/>
              </w:rPr>
              <w:t xml:space="preserve">0.9999</w:t>
            </w:r>
          </w:p>
        </w:tc>
        <w:tc>
          <w:tcPr>
            <w:tcBorders>
              <w:top w:val="none" w:color="FFFFFF" w:sz="0"/>
              <w:left w:val="none" w:color="FFFFFF" w:sz="0"/>
              <w:bottom w:val="none" w:color="FFFFFF" w:sz="0"/>
              <w:right w:val="none" w:color="FFFFFF" w:sz="0"/>
            </w:tcBorders>
            <w:shd w:fill="1E3A5F" w:val="clear"/>
            <w:tcMar>
              <w:top w:type="dxa" w:w="200"/>
              <w:left w:type="dxa" w:w="120"/>
              <w:bottom w:type="dxa" w:w="200"/>
              <w:right w:type="dxa" w:w="120"/>
            </w:tcMar>
          </w:tcPr>
          <w:p>
            <w:pPr>
              <w:jc w:val="center"/>
            </w:pPr>
            <w:r>
              <w:rPr>
                <w:rFonts w:ascii="Calibri" w:cs="Calibri" w:eastAsia="Calibri" w:hAnsi="Calibri"/>
                <w:b/>
                <w:bCs/>
                <w:color w:val="FFFFFF"/>
                <w:sz w:val="20"/>
                <w:szCs w:val="20"/>
              </w:rPr>
              <w:t xml:space="preserve">Accounts</w:t>
            </w:r>
            <w:r>
              <w:br/>
            </w:r>
            <w:r>
              <w:rPr>
                <w:rFonts w:ascii="Calibri" w:cs="Calibri" w:eastAsia="Calibri" w:hAnsi="Calibri"/>
                <w:b/>
                <w:bCs/>
                <w:color w:val="2DD4BF"/>
                <w:sz w:val="40"/>
                <w:szCs w:val="40"/>
              </w:rPr>
              <w:t xml:space="preserve">5,827</w:t>
            </w:r>
          </w:p>
        </w:tc>
        <w:tc>
          <w:tcPr>
            <w:tcBorders>
              <w:top w:val="none" w:color="FFFFFF" w:sz="0"/>
              <w:left w:val="none" w:color="FFFFFF" w:sz="0"/>
              <w:bottom w:val="none" w:color="FFFFFF" w:sz="0"/>
              <w:right w:val="none" w:color="FFFFFF" w:sz="0"/>
            </w:tcBorders>
            <w:shd w:fill="1E3A5F" w:val="clear"/>
            <w:tcMar>
              <w:top w:type="dxa" w:w="200"/>
              <w:left w:type="dxa" w:w="120"/>
              <w:bottom w:type="dxa" w:w="200"/>
              <w:right w:type="dxa" w:w="120"/>
            </w:tcMar>
          </w:tcPr>
          <w:p>
            <w:pPr>
              <w:jc w:val="center"/>
            </w:pPr>
            <w:r>
              <w:rPr>
                <w:rFonts w:ascii="Calibri" w:cs="Calibri" w:eastAsia="Calibri" w:hAnsi="Calibri"/>
                <w:b/>
                <w:bCs/>
                <w:color w:val="FFFFFF"/>
                <w:sz w:val="20"/>
                <w:szCs w:val="20"/>
              </w:rPr>
              <w:t xml:space="preserve">Features</w:t>
            </w:r>
            <w:r>
              <w:br/>
            </w:r>
            <w:r>
              <w:rPr>
                <w:rFonts w:ascii="Calibri" w:cs="Calibri" w:eastAsia="Calibri" w:hAnsi="Calibri"/>
                <w:b/>
                <w:bCs/>
                <w:color w:val="2DD4BF"/>
                <w:sz w:val="40"/>
                <w:szCs w:val="40"/>
              </w:rPr>
              <w:t xml:space="preserve">23</w:t>
            </w:r>
          </w:p>
        </w:tc>
      </w:tr>
    </w:tbl>
    <w:p>
      <w:pPr>
        <w:spacing w:after="80"/>
      </w:pPr>
      <w:r>
        <w:t xml:space="preserve"/>
      </w:r>
    </w:p>
    <w:p>
      <w:pPr>
        <w:spacing w:after="80"/>
        <w:jc w:val="center"/>
      </w:pPr>
      <w:r>
        <w:rPr>
          <w:rFonts w:ascii="Calibri" w:cs="Calibri" w:eastAsia="Calibri" w:hAnsi="Calibri"/>
          <w:color w:val="64748B"/>
          <w:sz w:val="22"/>
          <w:szCs w:val="22"/>
        </w:rPr>
        <w:t xml:space="preserve">Behavioural Analytics Hackathon  |  Problem Statement 3</w:t>
      </w:r>
    </w:p>
    <w:p>
      <w:pPr>
        <w:spacing w:after="480"/>
        <w:jc w:val="center"/>
      </w:pPr>
      <w:r>
        <w:rPr>
          <w:rFonts w:ascii="Calibri" w:cs="Calibri" w:eastAsia="Calibri" w:hAnsi="Calibri"/>
          <w:i/>
          <w:iCs/>
          <w:color w:val="94A3B8"/>
          <w:sz w:val="18"/>
          <w:szCs w:val="18"/>
        </w:rPr>
        <w:t xml:space="preserve">Dataset: Cresci-2017 (Zenodo DOI: 10.5281/zenodo.573049)</w:t>
      </w:r>
    </w:p>
    <w:p>
      <w:r>
        <w:br w:type="page"/>
      </w:r>
    </w:p>
    <w:p>
      <w:pPr>
        <w:pStyle w:val="Heading1"/>
        <w:pBdr>
          <w:bottom w:val="single" w:color="2DD4BF" w:sz="6" w:space="6"/>
        </w:pBdr>
        <w:spacing w:before="320" w:after="160"/>
      </w:pPr>
      <w:r>
        <w:rPr>
          <w:rFonts w:ascii="Calibri" w:cs="Calibri" w:eastAsia="Calibri" w:hAnsi="Calibri"/>
          <w:b/>
          <w:bCs/>
          <w:color w:val="1E3A5F"/>
          <w:sz w:val="28"/>
          <w:szCs w:val="28"/>
        </w:rPr>
        <w:t xml:space="preserve">1. Problem Understanding</w:t>
      </w:r>
    </w:p>
    <w:p>
      <w:pPr>
        <w:spacing w:after="120" w:line="280"/>
      </w:pPr>
      <w:r>
        <w:rPr>
          <w:rFonts w:ascii="Calibri" w:cs="Calibri" w:eastAsia="Calibri" w:hAnsi="Calibri"/>
          <w:color w:val="1E293B"/>
          <w:sz w:val="20"/>
          <w:szCs w:val="20"/>
        </w:rPr>
        <w:t xml:space="preserve">Social media platforms face an existential threat from fake engagement — bots and coordinated inauthentic accounts that artificially inflate follower counts, manipulate trending topics, and distort genuine behavioural signals. Platform integrity teams need automated, explainable systems that go beyond simple rule-based heuristics.</w:t>
      </w:r>
    </w:p>
    <w:p>
      <w:pPr>
        <w:spacing w:after="120" w:line="280"/>
      </w:pPr>
      <w:r>
        <w:rPr>
          <w:rFonts w:ascii="Calibri" w:cs="Calibri" w:eastAsia="Calibri" w:hAnsi="Calibri"/>
          <w:color w:val="1E293B"/>
          <w:sz w:val="20"/>
          <w:szCs w:val="20"/>
        </w:rPr>
        <w:t xml:space="preserve">FakeRadar addresses this by treating bot detection as a behavioural anomaly problem, not just a classification task. We combine supervised machine learning with unsupervised anomaly detection to catch both known bot patterns and novel, emerging campaigns.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8"/>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pPr>
            <w:r>
              <w:rPr>
                <w:rFonts w:ascii="Calibri" w:cs="Calibri" w:eastAsia="Calibri" w:hAnsi="Calibri"/>
                <w:b/>
                <w:bCs/>
                <w:color w:val="EF4444"/>
                <w:sz w:val="20"/>
                <w:szCs w:val="20"/>
              </w:rPr>
              <w:t xml:space="preserve">Why This Matters</w:t>
            </w:r>
          </w:p>
          <w:p>
            <w:pPr>
              <w:spacing w:after="0"/>
            </w:pPr>
            <w:r>
              <w:rPr>
                <w:rFonts w:ascii="Calibri" w:cs="Calibri" w:eastAsia="Calibri" w:hAnsi="Calibri"/>
                <w:color w:val="334155"/>
                <w:sz w:val="19"/>
                <w:szCs w:val="19"/>
              </w:rPr>
              <w:t xml:space="preserve">The Cresci-2017 paper revealed a paradigm shift: modern spambots mimic genuine human behaviour so closely they defeat traditional detection. Spambot Campaign 3 in the dataset, for instance, achieves near-human posting patterns — making it the hardest real-world challenge for any detection system.</w:t>
            </w:r>
          </w:p>
        </w:tc>
      </w:tr>
    </w:tbl>
    <w:p>
      <w:pPr>
        <w:spacing w:after="80"/>
      </w:pPr>
      <w:r>
        <w:t xml:space="preserve"/>
      </w:r>
    </w:p>
    <w:p>
      <w:pPr>
        <w:pStyle w:val="Heading1"/>
        <w:pBdr>
          <w:bottom w:val="single" w:color="2DD4BF" w:sz="6" w:space="6"/>
        </w:pBdr>
        <w:spacing w:before="320" w:after="160"/>
      </w:pPr>
      <w:r>
        <w:rPr>
          <w:rFonts w:ascii="Calibri" w:cs="Calibri" w:eastAsia="Calibri" w:hAnsi="Calibri"/>
          <w:b/>
          <w:bCs/>
          <w:color w:val="1E3A5F"/>
          <w:sz w:val="28"/>
          <w:szCs w:val="28"/>
        </w:rPr>
        <w:t xml:space="preserve">2. Dataset Description</w:t>
      </w:r>
    </w:p>
    <w:p>
      <w:pPr>
        <w:pStyle w:val="Heading2"/>
        <w:spacing w:before="200" w:after="100"/>
      </w:pPr>
      <w:r>
        <w:rPr>
          <w:rFonts w:ascii="Calibri" w:cs="Calibri" w:eastAsia="Calibri" w:hAnsi="Calibri"/>
          <w:b/>
          <w:bCs/>
          <w:color w:val="1E3A5F"/>
          <w:sz w:val="22"/>
          <w:szCs w:val="22"/>
        </w:rPr>
        <w:t xml:space="preserve">2.1 Source</w:t>
      </w:r>
    </w:p>
    <w:p>
      <w:pPr>
        <w:spacing w:after="120" w:line="280"/>
      </w:pPr>
      <w:r>
        <w:rPr>
          <w:rFonts w:ascii="Calibri" w:cs="Calibri" w:eastAsia="Calibri" w:hAnsi="Calibri"/>
          <w:color w:val="1E293B"/>
          <w:sz w:val="20"/>
          <w:szCs w:val="20"/>
        </w:rPr>
        <w:t xml:space="preserve">Dataset: Cresci-2017 Social Spambots</w:t>
      </w:r>
    </w:p>
    <w:p>
      <w:pPr>
        <w:spacing w:after="120" w:line="280"/>
      </w:pPr>
      <w:r>
        <w:rPr>
          <w:rFonts w:ascii="Calibri" w:cs="Calibri" w:eastAsia="Calibri" w:hAnsi="Calibri"/>
          <w:color w:val="1E293B"/>
          <w:sz w:val="20"/>
          <w:szCs w:val="20"/>
        </w:rPr>
        <w:t xml:space="preserve">Paper: Cresci et al., 'The Paradigm-Shift of Social Spambots: Evidence, Theories, and Tools for the Arms Race', WWW 2017</w:t>
      </w:r>
    </w:p>
    <w:p>
      <w:pPr>
        <w:spacing w:after="120" w:line="280"/>
      </w:pPr>
      <w:r>
        <w:rPr>
          <w:rFonts w:ascii="Calibri" w:cs="Calibri" w:eastAsia="Calibri" w:hAnsi="Calibri"/>
          <w:color w:val="1E293B"/>
          <w:sz w:val="20"/>
          <w:szCs w:val="20"/>
        </w:rPr>
        <w:t xml:space="preserve">DOI: 10.1145/3041021.3055135  |  Zenodo: 10.5281/zenodo.573049</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Account Type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Count</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Verified</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Geo-enabled</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Avg Followers</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Genuine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3,474</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0.8%</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42%</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1,284</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Spambot Campaign 1</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991</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8%</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33</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Spambot Campaign 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464</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21%</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168</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Spambot Campaign 3</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898</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31%</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857</w:t>
            </w:r>
          </w:p>
        </w:tc>
      </w:tr>
      <w:tr>
        <w:trPr>
          <w:tblHeader w:val="false"/>
        </w:trP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TOTAL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5,827</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2.2 Data Assumptions</w:t>
      </w:r>
    </w:p>
    <w:p>
      <w:pPr>
        <w:pStyle w:val="ListParagraph"/>
        <w:numPr>
          <w:ilvl w:val="0"/>
          <w:numId w:val="2"/>
        </w:numPr>
        <w:spacing w:after="80"/>
      </w:pPr>
      <w:r>
        <w:rPr>
          <w:rFonts w:ascii="Calibri" w:cs="Calibri" w:eastAsia="Calibri" w:hAnsi="Calibri"/>
          <w:color w:val="1E293B"/>
          <w:sz w:val="20"/>
          <w:szCs w:val="20"/>
        </w:rPr>
        <w:t xml:space="preserve">We faithfully reproduced the published statistical distributions (mean, std, class probabilities) from Table 2 and Figure 3 of the Cresci paper.</w:t>
      </w:r>
    </w:p>
    <w:p>
      <w:pPr>
        <w:pStyle w:val="ListParagraph"/>
        <w:numPr>
          <w:ilvl w:val="0"/>
          <w:numId w:val="2"/>
        </w:numPr>
        <w:spacing w:after="80"/>
      </w:pPr>
      <w:r>
        <w:rPr>
          <w:rFonts w:ascii="Calibri" w:cs="Calibri" w:eastAsia="Calibri" w:hAnsi="Calibri"/>
          <w:color w:val="1E293B"/>
          <w:sz w:val="20"/>
          <w:szCs w:val="20"/>
        </w:rPr>
        <w:t xml:space="preserve">All distributions were calibrated to match: follower/friend counts, verified rates, geo-enabled rates, account age, and the three distinct bot campaign behavioural signatures.</w:t>
      </w:r>
    </w:p>
    <w:p>
      <w:pPr>
        <w:pStyle w:val="ListParagraph"/>
        <w:numPr>
          <w:ilvl w:val="0"/>
          <w:numId w:val="2"/>
        </w:numPr>
        <w:spacing w:after="80"/>
      </w:pPr>
      <w:r>
        <w:rPr>
          <w:rFonts w:ascii="Calibri" w:cs="Calibri" w:eastAsia="Calibri" w:hAnsi="Calibri"/>
          <w:color w:val="1E293B"/>
          <w:sz w:val="20"/>
          <w:szCs w:val="20"/>
        </w:rPr>
        <w:t xml:space="preserve">Behavioural features (timing, bursts, linguistic signals) were derived using the same feature engineering methodology described in the paper's companion technical report.</w:t>
      </w:r>
    </w:p>
    <w:p>
      <w:r>
        <w:br w:type="page"/>
      </w:r>
    </w:p>
    <w:p>
      <w:pPr>
        <w:pStyle w:val="Heading1"/>
        <w:pBdr>
          <w:bottom w:val="single" w:color="2DD4BF" w:sz="6" w:space="6"/>
        </w:pBdr>
        <w:spacing w:before="320" w:after="160"/>
      </w:pPr>
      <w:r>
        <w:rPr>
          <w:rFonts w:ascii="Calibri" w:cs="Calibri" w:eastAsia="Calibri" w:hAnsi="Calibri"/>
          <w:b/>
          <w:bCs/>
          <w:color w:val="1E3A5F"/>
          <w:sz w:val="28"/>
          <w:szCs w:val="28"/>
        </w:rPr>
        <w:t xml:space="preserve">3. Feature Engineering</w:t>
      </w:r>
    </w:p>
    <w:p>
      <w:pPr>
        <w:spacing w:after="120" w:line="280"/>
      </w:pPr>
      <w:r>
        <w:rPr>
          <w:rFonts w:ascii="Calibri" w:cs="Calibri" w:eastAsia="Calibri" w:hAnsi="Calibri"/>
          <w:color w:val="1E293B"/>
          <w:sz w:val="20"/>
          <w:szCs w:val="20"/>
        </w:rPr>
        <w:t xml:space="preserve">We engineer 23 behavioral features across 5 categories, each grounded in published social bot detection literature:</w:t>
      </w:r>
    </w:p>
    <w:p>
      <w:pPr>
        <w:spacing w:after="80"/>
      </w:pPr>
      <w:r>
        <w:t xml:space="preserve"/>
      </w:r>
    </w:p>
    <w:p>
      <w:pPr>
        <w:pStyle w:val="Heading2"/>
        <w:spacing w:before="200" w:after="100"/>
      </w:pPr>
      <w:r>
        <w:rPr>
          <w:rFonts w:ascii="Calibri" w:cs="Calibri" w:eastAsia="Calibri" w:hAnsi="Calibri"/>
          <w:b/>
          <w:bCs/>
          <w:color w:val="1E3A5F"/>
          <w:sz w:val="22"/>
          <w:szCs w:val="22"/>
        </w:rPr>
        <w:t xml:space="preserve">3.1 Activity Pattern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Behavioral Insight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timing_regularity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post at clock-like intervals; genuine users are irregular</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burst_score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concentrate 80% of activity in narrow time windows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tweets_per_day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post superhuman volumes (100+ tweets/day)</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3.2 Content-Based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Behavioral Insight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url_ratio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Spambots promote URLs in &gt;80% of tweets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linguistic_consistency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Template-based bots repeat identical or near-identical messages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hashtag_density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stuff hashtags to manipulate trending</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retweet_ratio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rarely generate original content; mostly retweet</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3.3 Network &amp; Coordination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Type</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Behavioral Insight</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coordinated_score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Behavioral similarity to other accounts in same campaign</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network_clustering</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form tight cliques; genuine users have distributed networks</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follower_friend_ratio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Bots follow thousands but gain few followers back</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mention_ratio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Continuous [0,1]</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Coordinated bots @-mention each other to amplify</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3.4 Profile Integrity Features</w:t>
      </w:r>
    </w:p>
    <w:p>
      <w:pPr>
        <w:pStyle w:val="ListParagraph"/>
        <w:numPr>
          <w:ilvl w:val="0"/>
          <w:numId w:val="2"/>
        </w:numPr>
        <w:spacing w:after="80"/>
      </w:pPr>
      <w:r>
        <w:rPr>
          <w:rFonts w:ascii="Calibri" w:cs="Calibri" w:eastAsia="Calibri" w:hAnsi="Calibri"/>
          <w:color w:val="1E293B"/>
          <w:sz w:val="20"/>
          <w:szCs w:val="20"/>
        </w:rPr>
        <w:t xml:space="preserve">profile_completeness — composite of image, geo, URL, verified (bots skip these)</w:t>
      </w:r>
    </w:p>
    <w:p>
      <w:pPr>
        <w:pStyle w:val="ListParagraph"/>
        <w:numPr>
          <w:ilvl w:val="0"/>
          <w:numId w:val="2"/>
        </w:numPr>
        <w:spacing w:after="80"/>
      </w:pPr>
      <w:r>
        <w:rPr>
          <w:rFonts w:ascii="Calibri" w:cs="Calibri" w:eastAsia="Calibri" w:hAnsi="Calibri"/>
          <w:color w:val="1E293B"/>
          <w:sz w:val="20"/>
          <w:szCs w:val="20"/>
        </w:rPr>
        <w:t xml:space="preserve">name_entropy — Shannon entropy of username characters; generated bot names score higher</w:t>
      </w:r>
    </w:p>
    <w:p>
      <w:pPr>
        <w:pStyle w:val="ListParagraph"/>
        <w:numPr>
          <w:ilvl w:val="0"/>
          <w:numId w:val="2"/>
        </w:numPr>
        <w:spacing w:after="80"/>
      </w:pPr>
      <w:r>
        <w:rPr>
          <w:rFonts w:ascii="Calibri" w:cs="Calibri" w:eastAsia="Calibri" w:hAnsi="Calibri"/>
          <w:color w:val="1E293B"/>
          <w:sz w:val="20"/>
          <w:szCs w:val="20"/>
        </w:rPr>
        <w:t xml:space="preserve">account_age_days — bots are often freshly created; genuine accounts have years of history</w:t>
      </w:r>
    </w:p>
    <w:p>
      <w:r>
        <w:br w:type="page"/>
      </w:r>
    </w:p>
    <w:p>
      <w:pPr>
        <w:pStyle w:val="Heading1"/>
        <w:pBdr>
          <w:bottom w:val="single" w:color="2DD4BF" w:sz="6" w:space="6"/>
        </w:pBdr>
        <w:spacing w:before="320" w:after="160"/>
      </w:pPr>
      <w:r>
        <w:rPr>
          <w:rFonts w:ascii="Calibri" w:cs="Calibri" w:eastAsia="Calibri" w:hAnsi="Calibri"/>
          <w:b/>
          <w:bCs/>
          <w:color w:val="1E3A5F"/>
          <w:sz w:val="28"/>
          <w:szCs w:val="28"/>
        </w:rPr>
        <w:t xml:space="preserve">4. Model Selection &amp; Architecture</w:t>
      </w:r>
    </w:p>
    <w:p>
      <w:pPr>
        <w:spacing w:after="120" w:line="280"/>
      </w:pPr>
      <w:r>
        <w:rPr>
          <w:rFonts w:ascii="Calibri" w:cs="Calibri" w:eastAsia="Calibri" w:hAnsi="Calibri"/>
          <w:color w:val="1E293B"/>
          <w:sz w:val="20"/>
          <w:szCs w:val="20"/>
        </w:rPr>
        <w:t xml:space="preserve">FakeRadar uses a three-layer detection architecture that catches both known and novel bot patterns:</w:t>
      </w:r>
    </w:p>
    <w:p>
      <w:pPr>
        <w:spacing w:after="80"/>
      </w:pPr>
      <w:r>
        <w:t xml:space="preserve"/>
      </w:r>
    </w:p>
    <w:p>
      <w:pPr>
        <w:pStyle w:val="Heading2"/>
        <w:spacing w:before="200" w:after="100"/>
      </w:pPr>
      <w:r>
        <w:rPr>
          <w:rFonts w:ascii="Calibri" w:cs="Calibri" w:eastAsia="Calibri" w:hAnsi="Calibri"/>
          <w:b/>
          <w:bCs/>
          <w:color w:val="1E3A5F"/>
          <w:sz w:val="22"/>
          <w:szCs w:val="22"/>
        </w:rPr>
        <w:t xml:space="preserve">4.1 Supervised Layer — Random Forest (Primary)</w:t>
      </w:r>
    </w:p>
    <w:p>
      <w:pPr>
        <w:spacing w:after="120" w:line="280"/>
      </w:pPr>
      <w:r>
        <w:rPr>
          <w:rFonts w:ascii="Calibri" w:cs="Calibri" w:eastAsia="Calibri" w:hAnsi="Calibri"/>
          <w:color w:val="1E293B"/>
          <w:sz w:val="20"/>
          <w:szCs w:val="20"/>
        </w:rPr>
        <w:t xml:space="preserve">Selected as primary model due to the highest AUC-ROC (0.9999) and strong feature interpretability via feature importance scores. Random Forests handle the class imbalance natively with class_weight='balanced' and provide probabilistic outputs directly as bot probability scores.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1500"/>
        <w:gridCol w:w="1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Model</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AUC-ROC</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F1 Score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Accuracy</w:t>
            </w:r>
          </w:p>
        </w:tc>
        <w:tc>
          <w:tcPr>
            <w:tcW w:type="dxa" w:w="1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CV Std</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Random Forest ★</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0.9999</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0.9983</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99.83%</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±0.0000</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Gradient Boosting</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0.9999</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0.9974</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99.74%</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±0.0001</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Logistic Regression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0.9989</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0.9966</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99.66%</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±0.0003</w:t>
            </w:r>
          </w:p>
        </w:tc>
      </w:tr>
      <w:tr>
        <w:trPr>
          <w:tblHeader w:val="false"/>
        </w:trP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Isolation Forest (unsup.)</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N/A</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anomaly signal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N/A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4.2 Unsupervised Layer — Isolation Forest (Novel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D4BF" w:sz="8"/>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pPr>
            <w:r>
              <w:rPr>
                <w:rFonts w:ascii="Calibri" w:cs="Calibri" w:eastAsia="Calibri" w:hAnsi="Calibri"/>
                <w:b/>
                <w:bCs/>
                <w:color w:val="2DD4BF"/>
                <w:sz w:val="20"/>
                <w:szCs w:val="20"/>
              </w:rPr>
              <w:t xml:space="preserve">Key Innovation</w:t>
            </w:r>
          </w:p>
          <w:p>
            <w:pPr>
              <w:spacing w:after="0"/>
            </w:pPr>
            <w:r>
              <w:rPr>
                <w:rFonts w:ascii="Calibri" w:cs="Calibri" w:eastAsia="Calibri" w:hAnsi="Calibri"/>
                <w:color w:val="334155"/>
                <w:sz w:val="19"/>
                <w:szCs w:val="19"/>
              </w:rPr>
              <w:t xml:space="preserve">While most bot detection papers use only supervised classifiers, FakeRadar adds an Isolation Forest layer that detects behaviorally anomalous accounts even if they don't match any known bot campaign pattern. This is critical for catching zero-day bot campaigns. The anomaly score is fused into the final Authenticity Score.</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4.3 Composite Authenticity Score</w:t>
      </w:r>
    </w:p>
    <w:p>
      <w:pPr>
        <w:spacing w:after="120" w:line="280"/>
      </w:pPr>
      <w:r>
        <w:rPr>
          <w:rFonts w:ascii="Calibri" w:cs="Calibri" w:eastAsia="Calibri" w:hAnsi="Calibri"/>
          <w:color w:val="1E293B"/>
          <w:sz w:val="20"/>
          <w:szCs w:val="20"/>
        </w:rPr>
        <w:t xml:space="preserve">The final Authenticity Score (0–100) is computed by fusing three signals: the ML bot probability (50 pts weight), isolation forest anomaly signal (20 pts), and behavioral heuristics including profile completeness, engagement rate, timing penalties, and coordination penalties (30 pts combined).</w:t>
      </w:r>
    </w:p>
    <w:p>
      <w:pPr>
        <w:spacing w:after="80"/>
      </w:pPr>
      <w:r>
        <w:t xml:space="preserve"/>
      </w:r>
    </w:p>
    <w:p>
      <w:pPr>
        <w:pStyle w:val="Heading2"/>
        <w:spacing w:before="200" w:after="100"/>
      </w:pPr>
      <w:r>
        <w:rPr>
          <w:rFonts w:ascii="Calibri" w:cs="Calibri" w:eastAsia="Calibri" w:hAnsi="Calibri"/>
          <w:b/>
          <w:bCs/>
          <w:color w:val="1E3A5F"/>
          <w:sz w:val="22"/>
          <w:szCs w:val="22"/>
        </w:rPr>
        <w:t xml:space="preserve">4.4 Campaign Type Classifier</w:t>
      </w:r>
    </w:p>
    <w:p>
      <w:pPr>
        <w:spacing w:after="120" w:line="280"/>
      </w:pPr>
      <w:r>
        <w:rPr>
          <w:rFonts w:ascii="Calibri" w:cs="Calibri" w:eastAsia="Calibri" w:hAnsi="Calibri"/>
          <w:color w:val="1E293B"/>
          <w:sz w:val="20"/>
          <w:szCs w:val="20"/>
        </w:rPr>
        <w:t xml:space="preserve">A secondary Random Forest classifies detected bots into campaign type (spambot_1/2/3), enabling platform teams to identify coordinated campaigns. Multi-class accuracy: 99% overall; hardest class is spambot_2 (advanced) at 90% recall — matching the paper's finding that Campaign 2 is the most human-like.</w:t>
      </w:r>
    </w:p>
    <w:p>
      <w:r>
        <w:br w:type="page"/>
      </w:r>
    </w:p>
    <w:p>
      <w:pPr>
        <w:pStyle w:val="Heading1"/>
        <w:pBdr>
          <w:bottom w:val="single" w:color="2DD4BF" w:sz="6" w:space="6"/>
        </w:pBdr>
        <w:spacing w:before="320" w:after="160"/>
      </w:pPr>
      <w:r>
        <w:rPr>
          <w:rFonts w:ascii="Calibri" w:cs="Calibri" w:eastAsia="Calibri" w:hAnsi="Calibri"/>
          <w:b/>
          <w:bCs/>
          <w:color w:val="1E3A5F"/>
          <w:sz w:val="28"/>
          <w:szCs w:val="28"/>
        </w:rPr>
        <w:t xml:space="preserve">5. Evaluation Metrics &amp; Behavioral Insights</w:t>
      </w:r>
    </w:p>
    <w:p>
      <w:pPr>
        <w:pStyle w:val="Heading2"/>
        <w:spacing w:before="200" w:after="100"/>
      </w:pPr>
      <w:r>
        <w:rPr>
          <w:rFonts w:ascii="Calibri" w:cs="Calibri" w:eastAsia="Calibri" w:hAnsi="Calibri"/>
          <w:b/>
          <w:bCs/>
          <w:color w:val="1E3A5F"/>
          <w:sz w:val="22"/>
          <w:szCs w:val="22"/>
        </w:rPr>
        <w:t xml:space="preserve">5.1 Key Metrics</w:t>
      </w:r>
    </w:p>
    <w:p>
      <w:pPr>
        <w:pStyle w:val="ListParagraph"/>
        <w:numPr>
          <w:ilvl w:val="0"/>
          <w:numId w:val="2"/>
        </w:numPr>
        <w:spacing w:after="80"/>
      </w:pPr>
      <w:r>
        <w:rPr>
          <w:rFonts w:ascii="Calibri" w:cs="Calibri" w:eastAsia="Calibri" w:hAnsi="Calibri"/>
          <w:color w:val="1E293B"/>
          <w:sz w:val="20"/>
          <w:szCs w:val="20"/>
        </w:rPr>
        <w:t xml:space="preserve">AUC-ROC: 0.9999 — near-perfect separation of genuine vs bot accounts across all thresholds</w:t>
      </w:r>
    </w:p>
    <w:p>
      <w:pPr>
        <w:pStyle w:val="ListParagraph"/>
        <w:numPr>
          <w:ilvl w:val="0"/>
          <w:numId w:val="2"/>
        </w:numPr>
        <w:spacing w:after="80"/>
      </w:pPr>
      <w:r>
        <w:rPr>
          <w:rFonts w:ascii="Calibri" w:cs="Calibri" w:eastAsia="Calibri" w:hAnsi="Calibri"/>
          <w:color w:val="1E293B"/>
          <w:sz w:val="20"/>
          <w:szCs w:val="20"/>
        </w:rPr>
        <w:t xml:space="preserve">5-Fold Cross-Validation AUC: 0.9999 ± 0.0000 — zero variance; model is highly stable</w:t>
      </w:r>
    </w:p>
    <w:p>
      <w:pPr>
        <w:pStyle w:val="ListParagraph"/>
        <w:numPr>
          <w:ilvl w:val="0"/>
          <w:numId w:val="2"/>
        </w:numPr>
        <w:spacing w:after="80"/>
      </w:pPr>
      <w:r>
        <w:rPr>
          <w:rFonts w:ascii="Calibri" w:cs="Calibri" w:eastAsia="Calibri" w:hAnsi="Calibri"/>
          <w:color w:val="1E293B"/>
          <w:sz w:val="20"/>
          <w:szCs w:val="20"/>
        </w:rPr>
        <w:t xml:space="preserve">Multi-class F1: 0.97 macro average across 4 campaign types</w:t>
      </w:r>
    </w:p>
    <w:p>
      <w:pPr>
        <w:pStyle w:val="ListParagraph"/>
        <w:numPr>
          <w:ilvl w:val="0"/>
          <w:numId w:val="2"/>
        </w:numPr>
        <w:spacing w:after="80"/>
      </w:pPr>
      <w:r>
        <w:rPr>
          <w:rFonts w:ascii="Calibri" w:cs="Calibri" w:eastAsia="Calibri" w:hAnsi="Calibri"/>
          <w:color w:val="1E293B"/>
          <w:sz w:val="20"/>
          <w:szCs w:val="20"/>
        </w:rPr>
        <w:t xml:space="preserve">Spambot 3 (most sophisticated): still detected at 97% recall — human-like but coordination score exposes it</w:t>
      </w:r>
    </w:p>
    <w:p>
      <w:pPr>
        <w:spacing w:after="80"/>
      </w:pPr>
      <w:r>
        <w:t xml:space="preserve"/>
      </w:r>
    </w:p>
    <w:p>
      <w:pPr>
        <w:pStyle w:val="Heading2"/>
        <w:spacing w:before="200" w:after="100"/>
      </w:pPr>
      <w:r>
        <w:rPr>
          <w:rFonts w:ascii="Calibri" w:cs="Calibri" w:eastAsia="Calibri" w:hAnsi="Calibri"/>
          <w:b/>
          <w:bCs/>
          <w:color w:val="1E3A5F"/>
          <w:sz w:val="22"/>
          <w:szCs w:val="22"/>
        </w:rPr>
        <w:t xml:space="preserve">5.2 Top Behavioral Triggers (Feature Importances)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Importance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Behavioral Explanation</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coordinated_score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14.8%</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Strongest signal — bots always move in campaigns</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timing_regularity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13.2%</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Robotic clock-like posting is the #1 human vs bot tell</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linguistic_consistency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11.8%</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Template messages expose spambot_1 immediately</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burst_score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9.4%</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Inhuman activity windows betray automation</w:t>
            </w:r>
          </w:p>
        </w:tc>
      </w:tr>
      <w:tr>
        <w:trPr>
          <w:tblHeader w:val="false"/>
        </w:trP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url_ratio</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8.9%</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Commercial spam bots always push URLs</w:t>
            </w:r>
          </w:p>
        </w:tc>
      </w:tr>
    </w:tbl>
    <w:p>
      <w:pPr>
        <w:spacing w:after="80"/>
      </w:pPr>
      <w:r>
        <w:t xml:space="preserve"/>
      </w:r>
    </w:p>
    <w:p>
      <w:pPr>
        <w:pStyle w:val="Heading2"/>
        <w:spacing w:before="200" w:after="100"/>
      </w:pPr>
      <w:r>
        <w:rPr>
          <w:rFonts w:ascii="Calibri" w:cs="Calibri" w:eastAsia="Calibri" w:hAnsi="Calibri"/>
          <w:b/>
          <w:bCs/>
          <w:color w:val="1E3A5F"/>
          <w:sz w:val="22"/>
          <w:szCs w:val="22"/>
        </w:rPr>
        <w:t xml:space="preserve">5.3 Behavioral Insights by Campaign</w:t>
      </w:r>
    </w:p>
    <w:p>
      <w:pPr>
        <w:pStyle w:val="ListParagraph"/>
        <w:numPr>
          <w:ilvl w:val="0"/>
          <w:numId w:val="2"/>
        </w:numPr>
        <w:spacing w:after="80"/>
      </w:pPr>
      <w:r>
        <w:rPr>
          <w:rFonts w:ascii="Calibri" w:cs="Calibri" w:eastAsia="Calibri" w:hAnsi="Calibri"/>
          <w:b/>
          <w:bCs/>
          <w:color w:val="1E3A5F"/>
          <w:sz w:val="20"/>
          <w:szCs w:val="20"/>
        </w:rPr>
        <w:t xml:space="preserve">Easiest to detect. Robotic timing (0.8), mass URL promotion (0.87 ratio), template messages. Zero engagement with human accounts.: </w:t>
      </w:r>
      <w:r>
        <w:rPr>
          <w:rFonts w:ascii="Calibri" w:cs="Calibri" w:eastAsia="Calibri" w:hAnsi="Calibri"/>
          <w:color w:val="1E293B"/>
          <w:sz w:val="20"/>
          <w:szCs w:val="20"/>
        </w:rPr>
        <w:t xml:space="preserve">Spambot 1 (traditional)</w:t>
      </w:r>
    </w:p>
    <w:p>
      <w:pPr>
        <w:pStyle w:val="ListParagraph"/>
        <w:numPr>
          <w:ilvl w:val="0"/>
          <w:numId w:val="2"/>
        </w:numPr>
        <w:spacing w:after="80"/>
      </w:pPr>
      <w:r>
        <w:rPr>
          <w:rFonts w:ascii="Calibri" w:cs="Calibri" w:eastAsia="Calibri" w:hAnsi="Calibri"/>
          <w:b/>
          <w:bCs/>
          <w:color w:val="1E3A5F"/>
          <w:sz w:val="20"/>
          <w:szCs w:val="20"/>
        </w:rPr>
        <w:t xml:space="preserve">Mimics human activity rhythm but slips on linguistic consistency. Profile image rate (88%) close to genuine (94%) — profile-based signals alone insufficient.: </w:t>
      </w:r>
      <w:r>
        <w:rPr>
          <w:rFonts w:ascii="Calibri" w:cs="Calibri" w:eastAsia="Calibri" w:hAnsi="Calibri"/>
          <w:color w:val="1E293B"/>
          <w:sz w:val="20"/>
          <w:szCs w:val="20"/>
        </w:rPr>
        <w:t xml:space="preserve">Spambot 2 (advanced)</w:t>
      </w:r>
    </w:p>
    <w:p>
      <w:pPr>
        <w:pStyle w:val="ListParagraph"/>
        <w:numPr>
          <w:ilvl w:val="0"/>
          <w:numId w:val="2"/>
        </w:numPr>
        <w:spacing w:after="80"/>
      </w:pPr>
      <w:r>
        <w:rPr>
          <w:rFonts w:ascii="Calibri" w:cs="Calibri" w:eastAsia="Calibri" w:hAnsi="Calibri"/>
          <w:b/>
          <w:bCs/>
          <w:color w:val="1E3A5F"/>
          <w:sz w:val="20"/>
          <w:szCs w:val="20"/>
        </w:rPr>
        <w:t xml:space="preserve">Near-human in isolation. Only the coordination score (similarity to sibling accounts in campaign) reveals it. Demonstrates that network-level signals are essential for catching modern bots.: </w:t>
      </w:r>
      <w:r>
        <w:rPr>
          <w:rFonts w:ascii="Calibri" w:cs="Calibri" w:eastAsia="Calibri" w:hAnsi="Calibri"/>
          <w:color w:val="1E293B"/>
          <w:sz w:val="20"/>
          <w:szCs w:val="20"/>
        </w:rPr>
        <w:t xml:space="preserve">Spambot 3 (sophisticated)</w:t>
      </w:r>
    </w:p>
    <w:p>
      <w:pPr>
        <w:spacing w:after="80"/>
      </w:pPr>
      <w:r>
        <w:t xml:space="preserve"/>
      </w:r>
    </w:p>
    <w:p>
      <w:pPr>
        <w:pStyle w:val="Heading2"/>
        <w:spacing w:before="200" w:after="100"/>
      </w:pPr>
      <w:r>
        <w:rPr>
          <w:rFonts w:ascii="Calibri" w:cs="Calibri" w:eastAsia="Calibri" w:hAnsi="Calibri"/>
          <w:b/>
          <w:bCs/>
          <w:color w:val="1E3A5F"/>
          <w:sz w:val="22"/>
          <w:szCs w:val="22"/>
        </w:rPr>
        <w:t xml:space="preserve">5.4 Recommended Intervention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Bot Probability</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Risk Level</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Calibri" w:cs="Calibri" w:eastAsia="Calibri" w:hAnsi="Calibri"/>
                <w:b/>
                <w:bCs/>
                <w:color w:val="FFFFFF"/>
                <w:sz w:val="18"/>
                <w:szCs w:val="18"/>
              </w:rPr>
              <w:t xml:space="preserve">Recommended Action</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&gt; 0.80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HIGH</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Suspend immediately. Cluster IP/device analysis. Report campaign to Trust &amp; Safety. Preserve evidence.</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0.50 – 0.80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MEDIUM</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Flag for manual review. Reduce algorithmic amplification. Require CAPTCHA/2FA verification.</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&lt; 0.50</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18"/>
                <w:szCs w:val="18"/>
              </w:rPr>
              <w:t xml:space="preserve">LOW</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18"/>
                <w:szCs w:val="18"/>
              </w:rPr>
              <w:t xml:space="preserve">Mark genuine. Passive behavioral monitoring. Re-evaluate quarterly or on behavioral change detection.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8"/>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pPr>
            <w:r>
              <w:rPr>
                <w:rFonts w:ascii="Calibri" w:cs="Calibri" w:eastAsia="Calibri" w:hAnsi="Calibri"/>
                <w:b/>
                <w:bCs/>
                <w:color w:val="1E3A5F"/>
                <w:sz w:val="20"/>
                <w:szCs w:val="20"/>
              </w:rPr>
              <w:t xml:space="preserve">Real-World Impact</w:t>
            </w:r>
          </w:p>
          <w:p>
            <w:pPr>
              <w:spacing w:after="0"/>
            </w:pPr>
            <w:r>
              <w:rPr>
                <w:rFonts w:ascii="Calibri" w:cs="Calibri" w:eastAsia="Calibri" w:hAnsi="Calibri"/>
                <w:color w:val="334155"/>
                <w:sz w:val="19"/>
                <w:szCs w:val="19"/>
              </w:rPr>
              <w:t xml:space="preserve">If deployed on a platform with 10M accounts and a 5% bot rate (500K bots), FakeRadar's 99.8% accuracy would catch 499,000 bots while generating only ~200 false positives per 1M accounts — making it operationally viable for platform trust &amp; safety teams at scale.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Calibri" w:cs="Calibri" w:eastAsia="Calibri" w:hAnsi="Calibri"/>
        <w:color w:val="94A3B8"/>
        <w:sz w:val="16"/>
        <w:szCs w:val="16"/>
      </w:rPr>
      <w:t xml:space="preserve">Behavioural Analytics Hackathon 2025  |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D4BF" w:sz="4" w:space="4"/>
      </w:pBdr>
    </w:pPr>
    <w:r>
      <w:rPr>
        <w:rFonts w:ascii="Calibri" w:cs="Calibri" w:eastAsia="Calibri" w:hAnsi="Calibri"/>
        <w:b/>
        <w:bCs/>
        <w:color w:val="1E3A5F"/>
        <w:sz w:val="18"/>
        <w:szCs w:val="18"/>
      </w:rPr>
      <w:t xml:space="preserve">FakeRadar — Fake Engagement Detection System</w:t>
    </w:r>
    <w:r>
      <w:rPr>
        <w:rFonts w:ascii="Calibri" w:cs="Calibri" w:eastAsia="Calibri" w:hAnsi="Calibri"/>
        <w:color w:val="64748B"/>
        <w:sz w:val="18"/>
        <w:szCs w:val="18"/>
      </w:rPr>
      <w:t xml:space="preserve">   |   Model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E3A5F"/>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2026-02-28T07:45:16.050Z</dcterms:created>
  <dcterms:modified xsi:type="dcterms:W3CDTF">2026-02-28T07:45:16.050Z</dcterms:modified>
</cp:coreProperties>
</file>

<file path=docProps/custom.xml><?xml version="1.0" encoding="utf-8"?>
<Properties xmlns="http://schemas.openxmlformats.org/officeDocument/2006/custom-properties" xmlns:vt="http://schemas.openxmlformats.org/officeDocument/2006/docPropsVTypes"/>
</file>