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9B2335"/>
          <w:sz w:val="18"/>
          <w:spacing w:val="44"/>
        </w:rPr>
        <w:t>GESCHÄFTSBEDINGUNGEN</w:t>
      </w:r>
    </w:p>
    <w:p>
      <w:pPr>
        <w:spacing w:after="40"/>
      </w:pPr>
      <w:r>
        <w:rPr>
          <w:rFonts w:ascii="Georgia" w:hAnsi="Georgia"/>
          <w:color w:val="0D1E2E"/>
          <w:sz w:val="52"/>
        </w:rPr>
        <w:t>Allgemeine Geschäftsbedingungen</w:t>
      </w:r>
    </w:p>
    <w:p>
      <w:pPr>
        <w:spacing w:after="280"/>
      </w:pPr>
      <w:r>
        <w:rPr>
          <w:rFonts w:ascii="Calibri" w:hAnsi="Calibri"/>
          <w:color w:val="8AA0B0"/>
          <w:sz w:val="18"/>
        </w:rPr>
        <w:t>Stand: Juni 2026</w:t>
      </w:r>
    </w:p>
    <w:p>
      <w:pPr>
        <w:spacing w:after="320"/>
        <w:ind w:left="200"/>
      </w:pPr>
      <w:r>
        <w:rPr>
          <w:rFonts w:ascii="Calibri" w:hAnsi="Calibri"/>
          <w:i/>
          <w:color w:val="5A7080"/>
          <w:sz w:val="18"/>
        </w:rPr>
        <w:t>Diese AGB sind eine Vorlage nach österreichischem Recht (B2B) und vor der Verwendung anwaltlich zu prüfen sowie um die in [eckigen Klammern] markierten Angaben zu ergänzen.</w:t>
      </w:r>
    </w:p>
    <w:p>
      <w:pPr>
        <w:spacing w:after="160" w:line="312" w:lineRule="auto"/>
      </w:pPr>
      <w:r>
        <w:rPr>
          <w:rFonts w:ascii="Calibri" w:hAnsi="Calibri"/>
          <w:color w:val="5A7080"/>
          <w:sz w:val="21"/>
        </w:rPr>
        <w:t>Diese Allgemeinen Geschäftsbedingungen (AGB) gelten für sämtliche Leistungen von Wiegmann Executive Advisory im Bereich Executive Search und Beratung.</w:t>
      </w:r>
    </w:p>
    <w:p>
      <w:pPr>
        <w:spacing w:before="280" w:after="80"/>
      </w:pPr>
      <w:r>
        <w:rPr>
          <w:rFonts w:ascii="Georgia" w:hAnsi="Georgia"/>
          <w:color w:val="0D1E2E"/>
          <w:sz w:val="30"/>
        </w:rPr>
        <w:t>1. Geltungsbereich</w:t>
      </w:r>
    </w:p>
    <w:p>
      <w:pPr>
        <w:spacing w:after="160" w:line="312" w:lineRule="auto"/>
      </w:pPr>
      <w:r>
        <w:rPr>
          <w:rFonts w:ascii="Calibri" w:hAnsi="Calibri"/>
          <w:color w:val="5A7080"/>
          <w:sz w:val="21"/>
        </w:rPr>
        <w:t>1.1 Diese AGB gelten für alle Verträge zwischen Wiegmann Executive Advisory (nachfolgend „Auftragnehmer“) und seinen Auftraggebern (nachfolgend „Auftraggeber“). Die Leistungen richten sich ausschließlich an Unternehmer im Sinne des § 1 UGB; das Konsumenten­schutzgesetz findet keine Anwendung.</w:t>
      </w:r>
    </w:p>
    <w:p>
      <w:pPr>
        <w:spacing w:after="160" w:line="312" w:lineRule="auto"/>
      </w:pPr>
      <w:r>
        <w:rPr>
          <w:rFonts w:ascii="Calibri" w:hAnsi="Calibri"/>
          <w:color w:val="5A7080"/>
          <w:sz w:val="21"/>
        </w:rPr>
        <w:t>1.2 Abweichenden oder ergänzenden Geschäftsbedingungen des Auftraggebers wird widersprochen; sie werden nur bei ausdrücklicher schriftlicher Zustimmung des Auftragnehmers Vertragsbestandteil.</w:t>
      </w:r>
    </w:p>
    <w:p>
      <w:pPr>
        <w:spacing w:before="280" w:after="80"/>
      </w:pPr>
      <w:r>
        <w:rPr>
          <w:rFonts w:ascii="Georgia" w:hAnsi="Georgia"/>
          <w:color w:val="0D1E2E"/>
          <w:sz w:val="30"/>
        </w:rPr>
        <w:t>2. Vertragsgegenstand und Leistungen</w:t>
      </w:r>
    </w:p>
    <w:p>
      <w:pPr>
        <w:spacing w:after="160" w:line="312" w:lineRule="auto"/>
      </w:pPr>
      <w:r>
        <w:rPr>
          <w:rFonts w:ascii="Calibri" w:hAnsi="Calibri"/>
          <w:color w:val="5A7080"/>
          <w:sz w:val="21"/>
        </w:rPr>
        <w:t>2.1 Der Auftragnehmer erbringt Leistungen der Personalberatung (Executive Search) — insbesondere die Identifikation, Ansprache, Vorauswahl und Präsentation geeigneter Kandidatinnen und Kandidaten — sowie Beratungsleistungen in den Bereichen Restrukturierung, Operations und Führung.</w:t>
      </w:r>
    </w:p>
    <w:p>
      <w:pPr>
        <w:spacing w:after="160" w:line="312" w:lineRule="auto"/>
      </w:pPr>
      <w:r>
        <w:rPr>
          <w:rFonts w:ascii="Calibri" w:hAnsi="Calibri"/>
          <w:color w:val="5A7080"/>
          <w:sz w:val="21"/>
        </w:rPr>
        <w:t>2.2 Der Auftragnehmer schuldet ein sorgfältiges Bemühen (Dienstleistung), nicht jedoch einen bestimmten Erfolg, insbesondere nicht den Abschluss eines Dienst- oder Anstellungsvertrags zwischen Auftraggeber und Kandidat. Die Auswahl- und Einstellungsentscheidung trifft allein der Auftraggeber.</w:t>
      </w:r>
    </w:p>
    <w:p>
      <w:pPr>
        <w:spacing w:after="160" w:line="312" w:lineRule="auto"/>
      </w:pPr>
      <w:r>
        <w:rPr>
          <w:rFonts w:ascii="Calibri" w:hAnsi="Calibri"/>
          <w:color w:val="5A7080"/>
          <w:sz w:val="21"/>
        </w:rPr>
        <w:t>2.3 Der Auftragnehmer ist berechtigt, sich zur Leistungserbringung geeigneter Kooperations- und Netzwerkpartner zu bedienen.</w:t>
      </w:r>
    </w:p>
    <w:p>
      <w:pPr>
        <w:spacing w:before="280" w:after="80"/>
      </w:pPr>
      <w:r>
        <w:rPr>
          <w:rFonts w:ascii="Georgia" w:hAnsi="Georgia"/>
          <w:color w:val="0D1E2E"/>
          <w:sz w:val="30"/>
        </w:rPr>
        <w:t>3. Zustandekommen des Vertrags und Mitwirkung</w:t>
      </w:r>
    </w:p>
    <w:p>
      <w:pPr>
        <w:spacing w:after="160" w:line="312" w:lineRule="auto"/>
      </w:pPr>
      <w:r>
        <w:rPr>
          <w:rFonts w:ascii="Calibri" w:hAnsi="Calibri"/>
          <w:color w:val="5A7080"/>
          <w:sz w:val="21"/>
        </w:rPr>
        <w:t>3.1 Der Vertrag kommt durch schriftliche Auftragserteilung bzw. Gegenzeichnung des Mandatsangebots zustande.</w:t>
      </w:r>
    </w:p>
    <w:p>
      <w:pPr>
        <w:spacing w:after="160" w:line="312" w:lineRule="auto"/>
      </w:pPr>
      <w:r>
        <w:rPr>
          <w:rFonts w:ascii="Calibri" w:hAnsi="Calibri"/>
          <w:color w:val="5A7080"/>
          <w:sz w:val="21"/>
        </w:rPr>
        <w:t>3.2 Der Auftraggeber stellt dem Auftragnehmer alle für die Auftragsdurchführung erforderlichen Informationen (Anforderungsprofil, Rahmenbedingungen, Vergütungsbandbreite) rechtzeitig und vollständig zur Verfügung und benennt einen Ansprechpartner.</w:t>
      </w:r>
    </w:p>
    <w:p>
      <w:pPr>
        <w:spacing w:before="280" w:after="80"/>
      </w:pPr>
      <w:r>
        <w:rPr>
          <w:rFonts w:ascii="Georgia" w:hAnsi="Georgia"/>
          <w:color w:val="0D1E2E"/>
          <w:sz w:val="30"/>
        </w:rPr>
        <w:t>4. Honorar und Zahlungsbedingungen</w:t>
      </w:r>
    </w:p>
    <w:p>
      <w:pPr>
        <w:spacing w:after="160" w:line="312" w:lineRule="auto"/>
      </w:pPr>
      <w:r>
        <w:rPr>
          <w:rFonts w:ascii="Calibri" w:hAnsi="Calibri"/>
          <w:color w:val="5A7080"/>
          <w:sz w:val="21"/>
        </w:rPr>
        <w:t xml:space="preserve">4.1 Das Honorar für Suchmandate bemisst sich grundsätzlich als Prozentsatz des vereinbarten Jahresfixgehalts der zu besetzenden Position und beträgt regelmäßig </w:t>
      </w:r>
      <w:r>
        <w:rPr>
          <w:rFonts w:ascii="Calibri" w:hAnsi="Calibri"/>
          <w:b/>
          <w:color w:val="0D1E2E"/>
          <w:sz w:val="21"/>
        </w:rPr>
        <w:t>[[25–33]] %</w:t>
      </w:r>
      <w:r>
        <w:rPr>
          <w:rFonts w:ascii="Calibri" w:hAnsi="Calibri"/>
          <w:color w:val="5A7080"/>
          <w:sz w:val="21"/>
        </w:rPr>
        <w:t>. Die konkrete Höhe ergibt sich aus dem jeweiligen Mandatsangebot.</w:t>
      </w:r>
    </w:p>
    <w:p>
      <w:pPr>
        <w:spacing w:after="160" w:line="312" w:lineRule="auto"/>
      </w:pPr>
      <w:r>
        <w:rPr>
          <w:rFonts w:ascii="Calibri" w:hAnsi="Calibri"/>
          <w:color w:val="5A7080"/>
          <w:sz w:val="21"/>
        </w:rPr>
        <w:t>4.2 Das Honorar wird, soweit nicht anders vereinbart, in drei Teilen („retained“) fällig: bei Mandatsbeginn, bei Vorlage der Shortlist sowie bei Vertragsunterzeichnung mit dem vermittelten Kandidaten. Beratungsleistungen werden nach Aufwand oder pauschal gemäß gesonderter Vereinbarung abgerechnet.</w:t>
      </w:r>
    </w:p>
    <w:p>
      <w:pPr>
        <w:spacing w:after="160" w:line="312" w:lineRule="auto"/>
      </w:pPr>
      <w:r>
        <w:rPr>
          <w:rFonts w:ascii="Calibri" w:hAnsi="Calibri"/>
          <w:color w:val="5A7080"/>
          <w:sz w:val="21"/>
        </w:rPr>
        <w:t>4.3 Alle Beträge verstehen sich zuzüglich der gesetzlichen Umsatzsteuer. Notwendige Auslagen (z. B. Reisekosten) werden gesondert in Rechnung gestellt.</w:t>
      </w:r>
    </w:p>
    <w:p>
      <w:pPr>
        <w:spacing w:after="160" w:line="312" w:lineRule="auto"/>
      </w:pPr>
      <w:r>
        <w:rPr>
          <w:rFonts w:ascii="Calibri" w:hAnsi="Calibri"/>
          <w:color w:val="5A7080"/>
          <w:sz w:val="21"/>
        </w:rPr>
        <w:t xml:space="preserve">4.4 Rechnungen sind binnen </w:t>
      </w:r>
      <w:r>
        <w:rPr>
          <w:rFonts w:ascii="Calibri" w:hAnsi="Calibri"/>
          <w:b/>
          <w:color w:val="0D1E2E"/>
          <w:sz w:val="21"/>
        </w:rPr>
        <w:t>[[14]]</w:t>
      </w:r>
      <w:r>
        <w:rPr>
          <w:rFonts w:ascii="Calibri" w:hAnsi="Calibri"/>
          <w:color w:val="5A7080"/>
          <w:sz w:val="21"/>
        </w:rPr>
        <w:t xml:space="preserve"> Tagen ab Rechnungsdatum ohne Abzug zahlbar. Bei Zahlungsverzug gelten Verzugszinsen in gesetzlicher Höhe (§ 456 UGB).</w:t>
      </w:r>
    </w:p>
    <w:p>
      <w:pPr>
        <w:spacing w:before="280" w:after="80"/>
      </w:pPr>
      <w:r>
        <w:rPr>
          <w:rFonts w:ascii="Georgia" w:hAnsi="Georgia"/>
          <w:color w:val="0D1E2E"/>
          <w:sz w:val="30"/>
        </w:rPr>
        <w:t>5. Nachbesetzung / Gewährleistung</w:t>
      </w:r>
    </w:p>
    <w:p>
      <w:pPr>
        <w:spacing w:after="160" w:line="312" w:lineRule="auto"/>
      </w:pPr>
      <w:r>
        <w:rPr>
          <w:rFonts w:ascii="Calibri" w:hAnsi="Calibri"/>
          <w:color w:val="5A7080"/>
          <w:sz w:val="21"/>
        </w:rPr>
        <w:t xml:space="preserve">5.1 Scheidet ein vom Auftragnehmer vermittelter Kandidat innerhalb von </w:t>
      </w:r>
      <w:r>
        <w:rPr>
          <w:rFonts w:ascii="Calibri" w:hAnsi="Calibri"/>
          <w:b/>
          <w:color w:val="0D1E2E"/>
          <w:sz w:val="21"/>
        </w:rPr>
        <w:t>[[6]]</w:t>
      </w:r>
      <w:r>
        <w:rPr>
          <w:rFonts w:ascii="Calibri" w:hAnsi="Calibri"/>
          <w:color w:val="5A7080"/>
          <w:sz w:val="21"/>
        </w:rPr>
        <w:t xml:space="preserve"> Monaten ab Eintritt aus Gründen aus, die in seiner Person liegen, führt der Auftragnehmer auf Wunsch einmalig eine Nachbesetzung ohne erneutes Grundhonorar durch (Auslagen ausgenommen). Voraussetzung ist die vollständige Begleichung des ursprünglichen Honorars.</w:t>
      </w:r>
    </w:p>
    <w:p>
      <w:pPr>
        <w:spacing w:before="280" w:after="80"/>
      </w:pPr>
      <w:r>
        <w:rPr>
          <w:rFonts w:ascii="Georgia" w:hAnsi="Georgia"/>
          <w:color w:val="0D1E2E"/>
          <w:sz w:val="30"/>
        </w:rPr>
        <w:t>6. Vertraulichkeit und Datenschutz</w:t>
      </w:r>
    </w:p>
    <w:p>
      <w:pPr>
        <w:spacing w:after="160" w:line="312" w:lineRule="auto"/>
      </w:pPr>
      <w:r>
        <w:rPr>
          <w:rFonts w:ascii="Calibri" w:hAnsi="Calibri"/>
          <w:color w:val="5A7080"/>
          <w:sz w:val="21"/>
        </w:rPr>
        <w:t>6.1 Beide Parteien behandeln alle im Rahmen der Zusammenarbeit bekannt gewordenen Informationen streng vertraulich. Diese Verpflichtung besteht über das Vertragsende hinaus fort.</w:t>
      </w:r>
    </w:p>
    <w:p>
      <w:pPr>
        <w:spacing w:after="160" w:line="312" w:lineRule="auto"/>
      </w:pPr>
      <w:r>
        <w:rPr>
          <w:rFonts w:ascii="Calibri" w:hAnsi="Calibri"/>
          <w:color w:val="5A7080"/>
          <w:sz w:val="21"/>
        </w:rPr>
        <w:t>6.2 Die Verarbeitung personenbezogener Daten erfolgt nach Maßgabe der DSGVO; Einzelheiten regelt die Datenschutzerklärung. Soweit der Auftragnehmer Daten im Auftrag des Auftraggebers verarbeitet, wird ein Auftragsverarbeitungsvertrag (Art. 28 DSGVO) geschlossen.</w:t>
      </w:r>
    </w:p>
    <w:p>
      <w:pPr>
        <w:spacing w:before="280" w:after="80"/>
      </w:pPr>
      <w:r>
        <w:rPr>
          <w:rFonts w:ascii="Georgia" w:hAnsi="Georgia"/>
          <w:color w:val="0D1E2E"/>
          <w:sz w:val="30"/>
        </w:rPr>
        <w:t>7. Haftung</w:t>
      </w:r>
    </w:p>
    <w:p>
      <w:pPr>
        <w:spacing w:after="160" w:line="312" w:lineRule="auto"/>
      </w:pPr>
      <w:r>
        <w:rPr>
          <w:rFonts w:ascii="Calibri" w:hAnsi="Calibri"/>
          <w:color w:val="5A7080"/>
          <w:sz w:val="21"/>
        </w:rPr>
        <w:t>7.1 Der Auftragnehmer haftet nur für Vorsatz und grobe Fahrlässigkeit. Die Haftung für leichte Fahrlässigkeit ist — soweit gesetzlich zulässig — ausgeschlossen. Die Haftung für Folgeschäden, entgangenen Gewinn oder mittelbare Schäden ist ausgeschlossen.</w:t>
      </w:r>
    </w:p>
    <w:p>
      <w:pPr>
        <w:spacing w:after="160" w:line="312" w:lineRule="auto"/>
      </w:pPr>
      <w:r>
        <w:rPr>
          <w:rFonts w:ascii="Calibri" w:hAnsi="Calibri"/>
          <w:color w:val="5A7080"/>
          <w:sz w:val="21"/>
        </w:rPr>
        <w:t>7.2 Der Auftragnehmer haftet nicht für Richtigkeit und Vollständigkeit der von Kandidaten gemachten Angaben sowie nicht für die Eignungs- und Einstellungsentscheidung des Auftraggebers.</w:t>
      </w:r>
    </w:p>
    <w:p>
      <w:pPr>
        <w:spacing w:after="160" w:line="312" w:lineRule="auto"/>
      </w:pPr>
      <w:r>
        <w:rPr>
          <w:rFonts w:ascii="Calibri" w:hAnsi="Calibri"/>
          <w:color w:val="5A7080"/>
          <w:sz w:val="21"/>
        </w:rPr>
        <w:t xml:space="preserve">7.3 Schadenersatzansprüche verjähren, soweit gesetzlich zulässig, innerhalb von </w:t>
      </w:r>
      <w:r>
        <w:rPr>
          <w:rFonts w:ascii="Calibri" w:hAnsi="Calibri"/>
          <w:b/>
          <w:color w:val="0D1E2E"/>
          <w:sz w:val="21"/>
        </w:rPr>
        <w:t>[[einem]]</w:t>
      </w:r>
      <w:r>
        <w:rPr>
          <w:rFonts w:ascii="Calibri" w:hAnsi="Calibri"/>
          <w:color w:val="5A7080"/>
          <w:sz w:val="21"/>
        </w:rPr>
        <w:t xml:space="preserve"> Jahr ab Kenntnis von Schaden und Schädiger. Eine bestehende Vermögensschadenhaftpflichtversicherung begrenzt die Haftung der Höhe nach nicht zwingend.</w:t>
      </w:r>
    </w:p>
    <w:p>
      <w:pPr>
        <w:spacing w:before="280" w:after="80"/>
      </w:pPr>
      <w:r>
        <w:rPr>
          <w:rFonts w:ascii="Georgia" w:hAnsi="Georgia"/>
          <w:color w:val="0D1E2E"/>
          <w:sz w:val="30"/>
        </w:rPr>
        <w:t>8. Vertragsdauer und Kündigung</w:t>
      </w:r>
    </w:p>
    <w:p>
      <w:pPr>
        <w:spacing w:after="160" w:line="312" w:lineRule="auto"/>
      </w:pPr>
      <w:r>
        <w:rPr>
          <w:rFonts w:ascii="Calibri" w:hAnsi="Calibri"/>
          <w:color w:val="5A7080"/>
          <w:sz w:val="21"/>
        </w:rPr>
        <w:t>8.1 Suchmandate können von beiden Seiten schriftlich beendet werden. Bereits fällige Honoraranteile sowie angefallene Auslagen bleiben geschuldet; bis zur Beendigung erbrachte Leistungen sind angemessen zu vergüten.</w:t>
      </w:r>
    </w:p>
    <w:p>
      <w:pPr>
        <w:spacing w:before="280" w:after="80"/>
      </w:pPr>
      <w:r>
        <w:rPr>
          <w:rFonts w:ascii="Georgia" w:hAnsi="Georgia"/>
          <w:color w:val="0D1E2E"/>
          <w:sz w:val="30"/>
        </w:rPr>
        <w:t>9. Schlussbestimmungen</w:t>
      </w:r>
    </w:p>
    <w:p>
      <w:pPr>
        <w:spacing w:after="160" w:line="312" w:lineRule="auto"/>
      </w:pPr>
      <w:r>
        <w:rPr>
          <w:rFonts w:ascii="Calibri" w:hAnsi="Calibri"/>
          <w:color w:val="5A7080"/>
          <w:sz w:val="21"/>
        </w:rPr>
        <w:t>9.1 Änderungen und Ergänzungen bedürfen der Schriftform. Mündliche Nebenabreden bestehen nicht.</w:t>
      </w:r>
    </w:p>
    <w:p>
      <w:pPr>
        <w:spacing w:after="160" w:line="312" w:lineRule="auto"/>
      </w:pPr>
      <w:r>
        <w:rPr>
          <w:rFonts w:ascii="Calibri" w:hAnsi="Calibri"/>
          <w:color w:val="5A7080"/>
          <w:sz w:val="21"/>
        </w:rPr>
        <w:t>9.2 Es gilt österreichisches Recht unter Ausschluss der Verweisungsnormen des internationalen Privatrechts und des UN-Kaufrechts.</w:t>
      </w:r>
    </w:p>
    <w:p>
      <w:pPr>
        <w:spacing w:after="160" w:line="312" w:lineRule="auto"/>
      </w:pPr>
      <w:r>
        <w:rPr>
          <w:rFonts w:ascii="Calibri" w:hAnsi="Calibri"/>
          <w:color w:val="5A7080"/>
          <w:sz w:val="21"/>
        </w:rPr>
        <w:t>9.3 Als Gerichtsstand wird das sachlich zuständige Gericht am Sitz des Auftragnehmers (</w:t>
      </w:r>
      <w:r>
        <w:rPr>
          <w:rFonts w:ascii="Calibri" w:hAnsi="Calibri"/>
          <w:i/>
          <w:color w:val="B04A57"/>
          <w:sz w:val="21"/>
        </w:rPr>
        <w:t>[Ort]</w:t>
      </w:r>
      <w:r>
        <w:rPr>
          <w:rFonts w:ascii="Calibri" w:hAnsi="Calibri"/>
          <w:color w:val="5A7080"/>
          <w:sz w:val="21"/>
        </w:rPr>
        <w:t>) vereinbart.</w:t>
      </w:r>
    </w:p>
    <w:p>
      <w:pPr>
        <w:spacing w:after="160" w:line="312" w:lineRule="auto"/>
      </w:pPr>
      <w:r>
        <w:rPr>
          <w:rFonts w:ascii="Calibri" w:hAnsi="Calibri"/>
          <w:color w:val="5A7080"/>
          <w:sz w:val="21"/>
        </w:rPr>
        <w:t>9.4 Sollte eine Bestimmung dieser AGB unwirksam sein, bleibt die Wirksamkeit der übrigen Bestimmungen unberührt. An die Stelle der unwirksamen Bestimmung tritt eine Regelung, die dem wirtschaftlichen Zweck am nächsten kommt.</w:t>
      </w:r>
    </w:p>
    <w:p>
      <w:pPr>
        <w:spacing w:after="160" w:line="312" w:lineRule="auto"/>
      </w:pPr>
      <w:r>
        <w:rPr>
          <w:rFonts w:ascii="Calibri" w:hAnsi="Calibri"/>
          <w:color w:val="5A7080"/>
          <w:sz w:val="21"/>
        </w:rPr>
        <w:t>Stand: Juni 2026.</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Calibri" w:hAnsi="Calibri"/>
        <w:color w:val="8AA0B0"/>
        <w:sz w:val="16"/>
      </w:rPr>
      <w:t>Wiegmann Executive Advisory</w:t>
    </w:r>
    <w:r>
      <w:rPr>
        <w:rFonts w:ascii="Calibri" w:hAnsi="Calibri"/>
        <w:color w:val="8AA0B0"/>
        <w:sz w:val="16"/>
      </w:rPr>
      <w:tab/>
      <w:t xml:space="preserve">Seite </w:t>
    </w:r>
    <w:r>
      <w:rPr>
        <w:rFonts w:ascii="Calibri" w:hAnsi="Calibri"/>
        <w:color w:val="8AA0B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Bdr>
        <w:bottom w:val="single" w:sz="6" w:space="6" w:color="D9E0E6"/>
      </w:pBdr>
    </w:pPr>
    <w:r>
      <w:rPr>
        <w:rFonts w:ascii="Calibri" w:hAnsi="Calibri"/>
        <w:b/>
        <w:color w:val="0D1E2E"/>
        <w:sz w:val="18"/>
      </w:rPr>
      <w:t>WIEGMANN</w:t>
    </w:r>
    <w:r>
      <w:rPr>
        <w:rFonts w:ascii="Georgia" w:hAnsi="Georgia"/>
        <w:i/>
        <w:color w:val="9B2335"/>
        <w:sz w:val="18"/>
      </w:rPr>
      <w:t xml:space="preserve">  Executive Advisory</w:t>
    </w:r>
    <w:r>
      <w:rPr>
        <w:rFonts w:ascii="Calibri" w:hAnsi="Calibri"/>
        <w:color w:val="5A7080"/>
        <w:sz w:val="17"/>
      </w:rPr>
      <w:tab/>
      <w:t>Allgemeine Geschäftsbedingungen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A708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