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"/>
      </w:pPr>
      <w:r>
        <w:rPr>
          <w:b/>
          <w:color w:val="A95606"/>
          <w:sz w:val="18"/>
        </w:rPr>
        <w:t>OPENAEC   /   ONTWERPNOTITIE 01</w:t>
      </w:r>
    </w:p>
    <w:p>
      <w:pPr>
        <w:spacing w:after="180"/>
      </w:pPr>
      <w:r>
        <w:rPr>
          <w:b/>
          <w:color w:val="28384B"/>
          <w:sz w:val="64"/>
        </w:rPr>
        <w:t>Ruimte voor ideeën.</w:t>
      </w:r>
    </w:p>
    <w:p>
      <w:pPr>
        <w:spacing w:after="440"/>
      </w:pPr>
      <w:r>
        <w:rPr>
          <w:color w:val="7D8996"/>
          <w:sz w:val="30"/>
        </w:rPr>
        <w:t>Een heldere basis voor een open werkplek.</w:t>
      </w:r>
    </w:p>
    <w:p>
      <w:pPr>
        <w:pStyle w:val="Heading1"/>
      </w:pPr>
      <w:r>
        <w:t>Van eerste schets naar samenhang</w:t>
      </w:r>
    </w:p>
    <w:p>
      <w:r>
        <w:t>Goed werk begint met ruimte om te denken. Een rustige indeling, bruikbare materialen en duidelijke afspraken vormen samen de basis voor een prettige werkplek.</w:t>
      </w:r>
    </w:p>
    <w:p>
      <w:r>
        <w:t>Deze notitie brengt de uitgangspunten bij elkaar. Van licht en materiaal tot de manier waarop we een ontwerp delen, bespreken en verder brengen.</w:t>
      </w:r>
    </w:p>
    <w:p>
      <w:pPr>
        <w:pStyle w:val="Heading1"/>
      </w:pPr>
      <w:r>
        <w:t>Drie uitgangspunten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624"/>
            <w:shd w:fill="F5F7F9"/>
          </w:tcPr>
          <w:p>
            <w:pPr>
              <w:spacing w:before="140" w:after="140"/>
            </w:pPr>
            <w:r>
              <w:rPr>
                <w:color w:val="A95606"/>
              </w:rPr>
              <w:t>01</w:t>
            </w:r>
          </w:p>
        </w:tc>
        <w:tc>
          <w:tcPr>
            <w:tcW w:type="dxa" w:w="9014"/>
            <w:shd w:fill="F5F7F9"/>
          </w:tcPr>
          <w:p>
            <w:pPr>
              <w:spacing w:before="140" w:after="140"/>
            </w:pPr>
            <w:r/>
            <w:r>
              <w:rPr>
                <w:b/>
              </w:rPr>
              <w:t xml:space="preserve">Maak ruimte  </w:t>
            </w:r>
            <w:r>
              <w:t>Een heldere structuur geeft ideeën de ruimte.</w:t>
            </w:r>
          </w:p>
        </w:tc>
      </w:tr>
      <w:tr>
        <w:tc>
          <w:tcPr>
            <w:tcW w:type="dxa" w:w="624"/>
            <w:shd w:fill="F5F7F9"/>
          </w:tcPr>
          <w:p>
            <w:pPr>
              <w:spacing w:before="140" w:after="140"/>
            </w:pPr>
            <w:r>
              <w:rPr>
                <w:color w:val="A95606"/>
              </w:rPr>
              <w:t>02</w:t>
            </w:r>
          </w:p>
        </w:tc>
        <w:tc>
          <w:tcPr>
            <w:tcW w:type="dxa" w:w="9014"/>
            <w:shd w:fill="F5F7F9"/>
          </w:tcPr>
          <w:p>
            <w:pPr>
              <w:spacing w:before="140" w:after="140"/>
            </w:pPr>
            <w:r/>
            <w:r>
              <w:rPr>
                <w:b/>
              </w:rPr>
              <w:t xml:space="preserve">Werk samen  </w:t>
            </w:r>
            <w:r>
              <w:t>Deel inzichten en houd besluiten navolgbaar.</w:t>
            </w:r>
          </w:p>
        </w:tc>
      </w:tr>
      <w:tr>
        <w:tc>
          <w:tcPr>
            <w:tcW w:type="dxa" w:w="624"/>
            <w:shd w:fill="F5F7F9"/>
          </w:tcPr>
          <w:p>
            <w:pPr>
              <w:spacing w:before="140" w:after="140"/>
            </w:pPr>
            <w:r>
              <w:rPr>
                <w:color w:val="A95606"/>
              </w:rPr>
              <w:t>03</w:t>
            </w:r>
          </w:p>
        </w:tc>
        <w:tc>
          <w:tcPr>
            <w:tcW w:type="dxa" w:w="9014"/>
            <w:shd w:fill="F5F7F9"/>
          </w:tcPr>
          <w:p>
            <w:pPr>
              <w:spacing w:before="140" w:after="140"/>
            </w:pPr>
            <w:r/>
            <w:r>
              <w:rPr>
                <w:b/>
              </w:rPr>
              <w:t xml:space="preserve">Denk vooruit  </w:t>
            </w:r>
            <w:r>
              <w:t>Kies materialen die lang meegaan en opnieuw bruikbaar zijn.</w:t>
            </w:r>
          </w:p>
        </w:tc>
      </w:tr>
    </w:tbl>
    <w:p>
      <w:pPr>
        <w:spacing w:before="360"/>
      </w:pPr>
      <w:r>
        <w:rPr>
          <w:color w:val="7D8996"/>
          <w:sz w:val="18"/>
        </w:rPr>
        <w:t>VOLGENDE STAP   /   Werk de eerste variant uit en bespreek de keuzes.</w:t>
      </w:r>
    </w:p>
    <w:sectPr w:rsidR="00FC693F" w:rsidRPr="0006063C" w:rsidSect="00034616">
      <w:pgSz w:w="12240" w:h="15840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88" w:lineRule="auto"/>
    </w:pPr>
    <w:rPr>
      <w:rFonts w:ascii="Calibri" w:hAnsi="Calibri"/>
      <w:color w:val="45536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838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838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OpenAEC Office Studio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Ruimte voor ideeën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