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8185" w14:textId="77777777" w:rsidR="00CB4030" w:rsidRDefault="00000000">
      <w:pPr>
        <w:spacing w:after="0"/>
      </w:pPr>
      <w:r>
        <w:rPr>
          <w:rFonts w:ascii="Arial" w:eastAsia="Arial" w:hAnsi="Arial" w:cs="Arial"/>
          <w:b/>
          <w:color w:val="1A365D"/>
          <w:sz w:val="44"/>
        </w:rPr>
        <w:t>KETCo Unified Digital Platform</w:t>
      </w:r>
    </w:p>
    <w:p w14:paraId="21B8C226" w14:textId="44BF43EF" w:rsidR="004F0228" w:rsidRPr="004F0228" w:rsidRDefault="004F0228" w:rsidP="004F0228">
      <w:pPr>
        <w:pBdr>
          <w:top w:val="single" w:sz="24" w:space="0" w:color="C1E4F5" w:themeColor="accent1" w:themeTint="33"/>
          <w:left w:val="single" w:sz="24" w:space="0" w:color="C1E4F5" w:themeColor="accent1" w:themeTint="33"/>
          <w:bottom w:val="single" w:sz="24" w:space="0" w:color="C1E4F5" w:themeColor="accent1" w:themeTint="33"/>
          <w:right w:val="single" w:sz="24" w:space="0" w:color="C1E4F5" w:themeColor="accent1" w:themeTint="33"/>
        </w:pBdr>
        <w:shd w:val="clear" w:color="auto" w:fill="C1E4F5" w:themeFill="accent1" w:themeFillTint="33"/>
        <w:spacing w:before="100" w:after="0" w:line="276" w:lineRule="auto"/>
        <w:outlineLvl w:val="1"/>
        <w:rPr>
          <w:rFonts w:ascii="Aptos" w:eastAsia="Times New Roman" w:hAnsi="Aptos" w:cs="Times New Roman"/>
          <w:caps/>
          <w:color w:val="auto"/>
          <w:spacing w:val="15"/>
          <w:kern w:val="0"/>
          <w:sz w:val="20"/>
          <w:szCs w:val="20"/>
          <w14:ligatures w14:val="none"/>
        </w:rPr>
      </w:pPr>
      <w:bookmarkStart w:id="0" w:name="_Toc243306025"/>
      <w:r w:rsidRPr="004F0228">
        <w:rPr>
          <w:rFonts w:ascii="Aptos" w:eastAsia="Times New Roman" w:hAnsi="Aptos" w:cs="Times New Roman"/>
          <w:caps/>
          <w:color w:val="auto"/>
          <w:spacing w:val="15"/>
          <w:kern w:val="0"/>
          <w:sz w:val="20"/>
          <w:szCs w:val="20"/>
          <w14:ligatures w14:val="none"/>
        </w:rPr>
        <w:t>Requirements Catalogue</w:t>
      </w:r>
      <w:bookmarkEnd w:id="0"/>
    </w:p>
    <w:tbl>
      <w:tblPr>
        <w:tblStyle w:val="TableGrid1"/>
        <w:tblW w:w="10587" w:type="dxa"/>
        <w:tblInd w:w="-120" w:type="dxa"/>
        <w:tblCellMar>
          <w:top w:w="12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613"/>
        <w:gridCol w:w="1268"/>
        <w:gridCol w:w="1137"/>
        <w:gridCol w:w="2747"/>
        <w:gridCol w:w="906"/>
        <w:gridCol w:w="3916"/>
      </w:tblGrid>
      <w:tr w:rsidR="004F0228" w:rsidRPr="004F0228" w14:paraId="419D85E2" w14:textId="77777777">
        <w:trPr>
          <w:trHeight w:val="100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hideMark/>
          </w:tcPr>
          <w:p w14:paraId="47FCE20D" w14:textId="77777777" w:rsidR="004F0228" w:rsidRPr="004F0228" w:rsidRDefault="004F0228" w:rsidP="004F0228">
            <w:pPr>
              <w:spacing w:before="100" w:after="0" w:line="256" w:lineRule="auto"/>
              <w:rPr>
                <w:rFonts w:ascii="Aptos" w:eastAsia="Times New Roman" w:hAnsi="Aptos" w:cs="Times New Roman"/>
                <w:color w:val="auto"/>
                <w:sz w:val="20"/>
              </w:rPr>
            </w:pPr>
            <w:r w:rsidRPr="004F0228">
              <w:rPr>
                <w:rFonts w:ascii="Aptos" w:eastAsia="Times New Roman" w:hAnsi="Aptos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vAlign w:val="center"/>
            <w:hideMark/>
          </w:tcPr>
          <w:p w14:paraId="4B78FA0B" w14:textId="77777777" w:rsidR="004F0228" w:rsidRPr="004F0228" w:rsidRDefault="004F0228" w:rsidP="004F0228">
            <w:pPr>
              <w:spacing w:before="100" w:after="16" w:line="256" w:lineRule="auto"/>
              <w:rPr>
                <w:rFonts w:ascii="Aptos" w:eastAsia="Times New Roman" w:hAnsi="Aptos" w:cs="Times New Roman"/>
                <w:color w:val="auto"/>
                <w:sz w:val="20"/>
              </w:rPr>
            </w:pPr>
            <w:r w:rsidRPr="004F0228">
              <w:rPr>
                <w:rFonts w:ascii="Aptos" w:eastAsia="Times New Roman" w:hAnsi="Aptos" w:cs="Times New Roman"/>
                <w:b/>
                <w:color w:val="FFFFFF"/>
                <w:sz w:val="18"/>
              </w:rPr>
              <w:t>Subsystem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hideMark/>
          </w:tcPr>
          <w:p w14:paraId="7B1D525B" w14:textId="77777777" w:rsidR="004F0228" w:rsidRPr="004F0228" w:rsidRDefault="004F0228" w:rsidP="004F0228">
            <w:pPr>
              <w:spacing w:before="100" w:after="0" w:line="256" w:lineRule="auto"/>
              <w:rPr>
                <w:rFonts w:ascii="Aptos" w:eastAsia="Times New Roman" w:hAnsi="Aptos" w:cs="Times New Roman"/>
                <w:color w:val="auto"/>
                <w:sz w:val="20"/>
              </w:rPr>
            </w:pPr>
            <w:r w:rsidRPr="004F0228">
              <w:rPr>
                <w:rFonts w:ascii="Aptos" w:eastAsia="Times New Roman" w:hAnsi="Aptos" w:cs="Times New Roman"/>
                <w:b/>
                <w:color w:val="FFFFFF"/>
                <w:sz w:val="18"/>
              </w:rPr>
              <w:t>Name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hideMark/>
          </w:tcPr>
          <w:p w14:paraId="2EED6F83" w14:textId="77777777" w:rsidR="004F0228" w:rsidRPr="004F0228" w:rsidRDefault="004F0228" w:rsidP="004F0228">
            <w:pPr>
              <w:spacing w:before="100" w:after="0" w:line="256" w:lineRule="auto"/>
              <w:rPr>
                <w:rFonts w:ascii="Aptos" w:eastAsia="Times New Roman" w:hAnsi="Aptos" w:cs="Times New Roman"/>
                <w:color w:val="auto"/>
                <w:sz w:val="20"/>
              </w:rPr>
            </w:pPr>
            <w:r w:rsidRPr="004F0228">
              <w:rPr>
                <w:rFonts w:ascii="Aptos" w:eastAsia="Times New Roman" w:hAnsi="Aptos" w:cs="Times New Roman"/>
                <w:b/>
                <w:color w:val="FFFFFF"/>
                <w:sz w:val="18"/>
              </w:rPr>
              <w:t>Description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hideMark/>
          </w:tcPr>
          <w:p w14:paraId="65DBB134" w14:textId="77777777" w:rsidR="004F0228" w:rsidRPr="004F0228" w:rsidRDefault="004F0228" w:rsidP="004F0228">
            <w:pPr>
              <w:spacing w:before="100" w:after="0" w:line="256" w:lineRule="auto"/>
              <w:rPr>
                <w:rFonts w:ascii="Aptos" w:eastAsia="Times New Roman" w:hAnsi="Aptos" w:cs="Times New Roman"/>
                <w:color w:val="auto"/>
                <w:sz w:val="20"/>
              </w:rPr>
            </w:pPr>
            <w:r w:rsidRPr="004F0228">
              <w:rPr>
                <w:rFonts w:ascii="Aptos" w:eastAsia="Times New Roman" w:hAnsi="Aptos" w:cs="Times New Roman"/>
                <w:b/>
                <w:color w:val="FFFFFF"/>
                <w:sz w:val="18"/>
              </w:rPr>
              <w:t>Priority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  <w:hideMark/>
          </w:tcPr>
          <w:p w14:paraId="382A1612" w14:textId="77777777" w:rsidR="004F0228" w:rsidRPr="004F0228" w:rsidRDefault="004F0228" w:rsidP="004F0228">
            <w:pPr>
              <w:spacing w:before="100" w:after="0" w:line="256" w:lineRule="auto"/>
              <w:rPr>
                <w:rFonts w:ascii="Aptos" w:eastAsia="Times New Roman" w:hAnsi="Aptos" w:cs="Times New Roman"/>
                <w:color w:val="auto"/>
                <w:sz w:val="20"/>
              </w:rPr>
            </w:pPr>
            <w:r w:rsidRPr="004F0228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18"/>
                <w:szCs w:val="18"/>
              </w:rPr>
              <w:t xml:space="preserve">Rationale </w:t>
            </w:r>
          </w:p>
        </w:tc>
      </w:tr>
      <w:tr w:rsidR="004F0228" w:rsidRPr="004F0228" w14:paraId="43D3C78F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532604A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FR-101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48DFE9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Intake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066CEB55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Unique ID Generation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1B8CD4C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The system must generate a unique reference ID for each sample at receipt.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04CA9E6C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6C2C5273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Fundamental operational dependency.</w:t>
            </w:r>
          </w:p>
          <w:p w14:paraId="7B63EEF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Inspection of data rows.</w:t>
            </w:r>
          </w:p>
        </w:tc>
      </w:tr>
      <w:tr w:rsidR="004F0228" w:rsidRPr="004F0228" w14:paraId="3D04BF35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2E9B919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FR-102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212D2320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Intake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5BA9513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Spatial Mapping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99DE64E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The system must record GPS coordinates and link them to a parent location ID.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998F5B6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4C170382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Solves geographical naming ambiguity.</w:t>
            </w:r>
          </w:p>
          <w:p w14:paraId="29EE7B8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Entry mapping demo.</w:t>
            </w:r>
          </w:p>
        </w:tc>
      </w:tr>
      <w:tr w:rsidR="004F0228" w:rsidRPr="004F0228" w14:paraId="247A1818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A2828B2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FR-103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1AE29B3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Intake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4182ADBD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Condition Status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4D50134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Let technician set status to 'Provisionally Accepted' and force note entry.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1400B96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AD47A4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Handle incomplete field data safely.</w:t>
            </w:r>
          </w:p>
          <w:p w14:paraId="4462FC6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Null note rejection test.</w:t>
            </w:r>
          </w:p>
        </w:tc>
      </w:tr>
      <w:tr w:rsidR="004F0228" w:rsidRPr="004F0228" w14:paraId="66E90A78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7AFB234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FR-104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F85AE2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Intake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16776AD6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Suitability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7E4A4498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Check temperature, container, and elapsed time against rules.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236658C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Should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7BE255BE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Prevent testing degraded samples.</w:t>
            </w:r>
          </w:p>
          <w:p w14:paraId="3500487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Test edge metrics.</w:t>
            </w:r>
          </w:p>
        </w:tc>
      </w:tr>
      <w:tr w:rsidR="004F0228" w:rsidRPr="004F0228" w14:paraId="5823000E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1543867F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FR-105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5A8B7500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Tracking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33146A0D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Splits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31354186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Support sample splits and link to parent reference key.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631F927C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4D4392F6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Mandatory for external referrals.</w:t>
            </w:r>
          </w:p>
          <w:p w14:paraId="3469C122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Inspect DB relations.</w:t>
            </w:r>
          </w:p>
        </w:tc>
      </w:tr>
      <w:tr w:rsidR="004F0228" w:rsidRPr="004F0228" w14:paraId="6EA45714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51C5F698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FR-106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3292196F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Tracking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29E6869A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Immutable Log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BC67C2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Add log row automatically when location or staff ID changes.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58963644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15ACB4D5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Eliminate mix-ups and log failures.</w:t>
            </w:r>
          </w:p>
          <w:p w14:paraId="1DA218F6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Delete/update blocking.</w:t>
            </w:r>
          </w:p>
        </w:tc>
      </w:tr>
      <w:tr w:rsidR="004F0228" w:rsidRPr="004F0228" w14:paraId="3429B20F" w14:textId="77777777">
        <w:trPr>
          <w:trHeight w:val="464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31AD7F92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FR-107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6803CDB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Lab Ops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4F6EE5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Segregation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4022872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Separate raw data from reportable fields until review is done.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07A7AD4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46AF228F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Prevent customer viewing unverified values.</w:t>
            </w:r>
          </w:p>
          <w:p w14:paraId="47CD9068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Portal isolation test.</w:t>
            </w:r>
          </w:p>
        </w:tc>
      </w:tr>
      <w:tr w:rsidR="004F0228" w:rsidRPr="004F0228" w14:paraId="37EC933D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3EA0BFD8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FR-108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37EC858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Lab Ops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7CA7D02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Validation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7E2A72B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 analyst ID against certified methods list before save.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3D7FD123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Should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6B8712E4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Quality assurance check. Verify: Uncertified save block.</w:t>
            </w:r>
          </w:p>
        </w:tc>
      </w:tr>
      <w:tr w:rsidR="004F0228" w:rsidRPr="004F0228" w14:paraId="556A3EF3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09D95FE8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FR-109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3410B7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Lab Ops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2161B950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Machine Block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3D0EE6E3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Set test to 'Delayed' if machine fails QC check or is out of service.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FBC6E7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AE71A4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Prevent execution on uncalibrated hardware.</w:t>
            </w:r>
          </w:p>
          <w:p w14:paraId="0EE72B06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Status shift demo.</w:t>
            </w:r>
          </w:p>
        </w:tc>
      </w:tr>
      <w:tr w:rsidR="004F0228" w:rsidRPr="004F0228" w14:paraId="2B1660E2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67FDCBD6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FR-110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E81CF9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Reports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2505E7EA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Version Ctrl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6E9ED2D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Increment version number and force revision notes during corrections.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5E0BBCAD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3521DC8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Vital for audit trails and liability protection.</w:t>
            </w:r>
          </w:p>
          <w:p w14:paraId="004D287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Blank note block test.</w:t>
            </w:r>
          </w:p>
        </w:tc>
      </w:tr>
      <w:tr w:rsidR="004F0228" w:rsidRPr="004F0228" w14:paraId="38F18899" w14:textId="77777777">
        <w:trPr>
          <w:trHeight w:val="301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148F8E0C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FR-111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624924A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Reports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2B10AACF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Dashboard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39759640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Show unapproved corrected reports, anomalies, referrals, and delays.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6F11E0ED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Should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1BEECF79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Live operational visibility for managers.</w:t>
            </w:r>
          </w:p>
          <w:p w14:paraId="339A13AC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UI rendering check.</w:t>
            </w:r>
          </w:p>
        </w:tc>
      </w:tr>
      <w:tr w:rsidR="004F0228" w:rsidRPr="004F0228" w14:paraId="3F252A30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25122AA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NFR-201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44FA1C2F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Offline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4A180BA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Sync Cap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17847BBC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Store 200 logs offline and sync in under 30 seconds.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508BA24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17DC71F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Counteract weak rural networks.</w:t>
            </w:r>
          </w:p>
          <w:p w14:paraId="7F0D5FE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Cache sync simulation.</w:t>
            </w:r>
          </w:p>
        </w:tc>
      </w:tr>
      <w:tr w:rsidR="004F0228" w:rsidRPr="004F0228" w14:paraId="7E1D31A4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0FD0444A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NFR-202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43D87DFC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Security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636601BD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Multi-Tenant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5B5D9DA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Filter queries by sensitivity flag; return HTTP 403 error.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31760262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174646F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Absolute multi tenant isolation. Verify: Token injection attempt.</w:t>
            </w:r>
          </w:p>
        </w:tc>
      </w:tr>
      <w:tr w:rsidR="004F0228" w:rsidRPr="004F0228" w14:paraId="7479B6FC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41065E75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NFR-203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2C628E57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Alerts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5BFB5F4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Latency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5583A938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Send email/SMS within 5 minutes when Rejected or Delayed.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36FFB58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Should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hideMark/>
          </w:tcPr>
          <w:p w14:paraId="0AE4541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Improve response speed. Verify: Timestamp log check.</w:t>
            </w:r>
          </w:p>
        </w:tc>
      </w:tr>
      <w:tr w:rsidR="004F0228" w:rsidRPr="004F0228" w14:paraId="57EA07C1" w14:textId="77777777">
        <w:trPr>
          <w:trHeight w:val="578"/>
        </w:trPr>
        <w:tc>
          <w:tcPr>
            <w:tcW w:w="613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C6DE53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NFR-204</w:t>
            </w:r>
          </w:p>
        </w:tc>
        <w:tc>
          <w:tcPr>
            <w:tcW w:w="12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1EFE8E8D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Scope</w:t>
            </w:r>
          </w:p>
        </w:tc>
        <w:tc>
          <w:tcPr>
            <w:tcW w:w="113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26AF738B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Isolation</w:t>
            </w:r>
          </w:p>
        </w:tc>
        <w:tc>
          <w:tcPr>
            <w:tcW w:w="2747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33F05771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Zero software dependencies on billing or enforcement modules.</w:t>
            </w:r>
          </w:p>
        </w:tc>
        <w:tc>
          <w:tcPr>
            <w:tcW w:w="9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26574984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Must</w:t>
            </w:r>
          </w:p>
        </w:tc>
        <w:tc>
          <w:tcPr>
            <w:tcW w:w="391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 w:themeFill="background1"/>
            <w:hideMark/>
          </w:tcPr>
          <w:p w14:paraId="7DAC2105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Rationale: Enforce defined brief boundaries.</w:t>
            </w:r>
          </w:p>
          <w:p w14:paraId="4F7BB560" w14:textId="77777777" w:rsidR="004F0228" w:rsidRPr="004F0228" w:rsidRDefault="004F0228" w:rsidP="004F0228">
            <w:pPr>
              <w:spacing w:before="100" w:after="0" w:line="240" w:lineRule="auto"/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</w:pPr>
            <w:r w:rsidRPr="004F0228">
              <w:rPr>
                <w:rFonts w:ascii="Aptos" w:eastAsia="Times New Roman" w:hAnsi="Aptos" w:cs="Times New Roman"/>
                <w:color w:val="auto"/>
                <w:sz w:val="16"/>
                <w:szCs w:val="16"/>
              </w:rPr>
              <w:t>Verify: Architecture tree inspection.</w:t>
            </w:r>
          </w:p>
        </w:tc>
      </w:tr>
    </w:tbl>
    <w:p w14:paraId="116C3518" w14:textId="77777777" w:rsidR="004F0228" w:rsidRPr="004F0228" w:rsidRDefault="004F0228" w:rsidP="004F0228">
      <w:pPr>
        <w:spacing w:after="472"/>
      </w:pPr>
    </w:p>
    <w:p w14:paraId="09A35E4A" w14:textId="77777777" w:rsidR="004F0228" w:rsidRDefault="004F0228">
      <w:pPr>
        <w:spacing w:after="3"/>
        <w:ind w:left="-5" w:hanging="10"/>
      </w:pPr>
    </w:p>
    <w:p w14:paraId="7FDAC467" w14:textId="77777777" w:rsidR="00CB4030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2B6CB0"/>
          <w:sz w:val="28"/>
        </w:rPr>
        <w:t>Strict Operational Boundaries (Out-of-Scope Constraints)</w:t>
      </w:r>
    </w:p>
    <w:p w14:paraId="06ADA905" w14:textId="77777777" w:rsidR="00CB4030" w:rsidRDefault="00000000">
      <w:pPr>
        <w:spacing w:after="0" w:line="263" w:lineRule="auto"/>
        <w:ind w:left="-5" w:hanging="10"/>
      </w:pPr>
      <w:r>
        <w:rPr>
          <w:rFonts w:ascii="Arial" w:eastAsia="Arial" w:hAnsi="Arial" w:cs="Arial"/>
          <w:color w:val="2D3748"/>
          <w:sz w:val="18"/>
        </w:rPr>
        <w:t>The system must maintain absolute code isolation from non-core processes. The following parameters are formally outside the application architecture boundaries:</w:t>
      </w:r>
    </w:p>
    <w:p w14:paraId="4F39D332" w14:textId="77777777" w:rsidR="00CB4030" w:rsidRDefault="00000000">
      <w:pPr>
        <w:numPr>
          <w:ilvl w:val="0"/>
          <w:numId w:val="1"/>
        </w:numPr>
        <w:spacing w:after="0" w:line="263" w:lineRule="auto"/>
        <w:ind w:hanging="200"/>
      </w:pPr>
      <w:r>
        <w:rPr>
          <w:rFonts w:ascii="Arial" w:eastAsia="Arial" w:hAnsi="Arial" w:cs="Arial"/>
          <w:b/>
          <w:color w:val="2D3748"/>
          <w:sz w:val="18"/>
        </w:rPr>
        <w:t>Machine Connections:</w:t>
      </w:r>
      <w:r>
        <w:rPr>
          <w:rFonts w:ascii="Arial" w:eastAsia="Arial" w:hAnsi="Arial" w:cs="Arial"/>
          <w:color w:val="2D3748"/>
          <w:sz w:val="18"/>
        </w:rPr>
        <w:t xml:space="preserve"> No direct hardware APIs or software drivers. Analysts must transfer data manually.</w:t>
      </w:r>
    </w:p>
    <w:p w14:paraId="78680FB5" w14:textId="77777777" w:rsidR="00CB4030" w:rsidRDefault="00000000">
      <w:pPr>
        <w:numPr>
          <w:ilvl w:val="0"/>
          <w:numId w:val="1"/>
        </w:numPr>
        <w:spacing w:after="0" w:line="263" w:lineRule="auto"/>
        <w:ind w:hanging="200"/>
      </w:pPr>
      <w:r>
        <w:rPr>
          <w:rFonts w:ascii="Arial" w:eastAsia="Arial" w:hAnsi="Arial" w:cs="Arial"/>
          <w:b/>
          <w:color w:val="2D3748"/>
          <w:sz w:val="18"/>
        </w:rPr>
        <w:t>Regulatory Compliance:</w:t>
      </w:r>
      <w:r>
        <w:rPr>
          <w:rFonts w:ascii="Arial" w:eastAsia="Arial" w:hAnsi="Arial" w:cs="Arial"/>
          <w:color w:val="2D3748"/>
          <w:sz w:val="18"/>
        </w:rPr>
        <w:t xml:space="preserve"> No automated evaluation of statutory water/soil thresholds or immediate notifications to government agencies.</w:t>
      </w:r>
    </w:p>
    <w:p w14:paraId="4B2F9E32" w14:textId="77777777" w:rsidR="00CB4030" w:rsidRDefault="00000000">
      <w:pPr>
        <w:numPr>
          <w:ilvl w:val="0"/>
          <w:numId w:val="1"/>
        </w:numPr>
        <w:spacing w:after="573" w:line="263" w:lineRule="auto"/>
        <w:ind w:hanging="200"/>
      </w:pPr>
      <w:r>
        <w:rPr>
          <w:rFonts w:ascii="Arial" w:eastAsia="Arial" w:hAnsi="Arial" w:cs="Arial"/>
          <w:b/>
          <w:color w:val="2D3748"/>
          <w:sz w:val="18"/>
        </w:rPr>
        <w:t>Financial Operations:</w:t>
      </w:r>
      <w:r>
        <w:rPr>
          <w:rFonts w:ascii="Arial" w:eastAsia="Arial" w:hAnsi="Arial" w:cs="Arial"/>
          <w:color w:val="2D3748"/>
          <w:sz w:val="18"/>
        </w:rPr>
        <w:t xml:space="preserve"> Zero infrastructure supporting invoices, customer pricing records, or active billing portals.</w:t>
      </w:r>
    </w:p>
    <w:p w14:paraId="7CD4BF59" w14:textId="77777777" w:rsidR="00CB4030" w:rsidRDefault="00000000">
      <w:pPr>
        <w:spacing w:after="0"/>
      </w:pPr>
      <w:r>
        <w:rPr>
          <w:rFonts w:ascii="Arial" w:eastAsia="Arial" w:hAnsi="Arial" w:cs="Arial"/>
          <w:i/>
          <w:color w:val="718096"/>
          <w:sz w:val="16"/>
        </w:rPr>
        <w:t>Generated directly from KETCo requirements documentation source files.</w:t>
      </w:r>
    </w:p>
    <w:sectPr w:rsidR="00CB4030">
      <w:pgSz w:w="12240" w:h="15840"/>
      <w:pgMar w:top="971" w:right="1076" w:bottom="1002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6359C"/>
    <w:multiLevelType w:val="hybridMultilevel"/>
    <w:tmpl w:val="712C3C90"/>
    <w:lvl w:ilvl="0" w:tplc="BFDC1270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F0AA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2EAE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8644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E245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5A82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A253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5382C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F80E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790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030"/>
    <w:rsid w:val="001E34A8"/>
    <w:rsid w:val="004F0228"/>
    <w:rsid w:val="00CB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1BD0E"/>
  <w15:docId w15:val="{34E0063B-CA02-4354-8731-E59E8587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4F0228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customStyle="1" w:styleId="TableGrid1">
    <w:name w:val="TableGrid1"/>
    <w:rsid w:val="004F0228"/>
    <w:pPr>
      <w:spacing w:before="100" w:after="0" w:line="240" w:lineRule="auto"/>
    </w:pPr>
    <w:rPr>
      <w:rFonts w:ascii="Aptos" w:eastAsia="Times New Roman" w:hAnsi="Aptos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KETCo Requirements Catalogue</dc:title>
  <dc:subject>(unspecified)</dc:subject>
  <dc:creator>(anonymous)</dc:creator>
  <cp:keywords/>
  <cp:lastModifiedBy>Student Jan Coetzer (TL_KCPGD_B_Y3)</cp:lastModifiedBy>
  <cp:revision>2</cp:revision>
  <dcterms:created xsi:type="dcterms:W3CDTF">2026-10-22T16:24:00Z</dcterms:created>
  <dcterms:modified xsi:type="dcterms:W3CDTF">2026-10-22T16:24:00Z</dcterms:modified>
</cp:coreProperties>
</file>