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0E48B" w14:textId="77777777" w:rsidR="0087698B" w:rsidRDefault="004F6B6F">
      <w:pPr>
        <w:pStyle w:val="Rubrik"/>
      </w:pPr>
      <w:r>
        <w:t>Pharmaco-kinetic models</w:t>
      </w:r>
    </w:p>
    <w:p w14:paraId="190C5EAC" w14:textId="77777777" w:rsidR="0087698B" w:rsidRDefault="004F6B6F">
      <w:pPr>
        <w:pStyle w:val="Textbody"/>
      </w:pPr>
      <w:r>
        <w:t>Jan Axelsson 2021-JAN-21</w:t>
      </w:r>
    </w:p>
    <w:p w14:paraId="0A98AC7A" w14:textId="77777777" w:rsidR="0087698B" w:rsidRDefault="004F6B6F">
      <w:pPr>
        <w:pStyle w:val="ContentsHeading"/>
      </w:pPr>
      <w:r>
        <w:rPr>
          <w:rFonts w:ascii="Times New Roman" w:eastAsia="SimSun" w:hAnsi="Times New Roman" w:cs="Mangal"/>
          <w:b w:val="0"/>
          <w:bCs w:val="0"/>
          <w:sz w:val="24"/>
          <w:szCs w:val="24"/>
        </w:rPr>
        <w:fldChar w:fldCharType="begin"/>
      </w:r>
      <w:r>
        <w:instrText xml:space="preserve"> TOC \o "1-9" \u \l 1-9 \n 1-9 \h </w:instrText>
      </w:r>
      <w:r>
        <w:rPr>
          <w:rFonts w:ascii="Times New Roman" w:eastAsia="SimSun" w:hAnsi="Times New Roman" w:cs="Mangal"/>
          <w:b w:val="0"/>
          <w:bCs w:val="0"/>
          <w:sz w:val="24"/>
          <w:szCs w:val="24"/>
        </w:rPr>
        <w:fldChar w:fldCharType="separate"/>
      </w:r>
      <w:r>
        <w:t>Table of Contents</w:t>
      </w:r>
    </w:p>
    <w:p w14:paraId="1E1D7C72" w14:textId="77777777" w:rsidR="0087698B" w:rsidRPr="00C93A10" w:rsidRDefault="00B8109E" w:rsidP="00C93A10">
      <w:pPr>
        <w:pStyle w:val="Contents2"/>
        <w:tabs>
          <w:tab w:val="clear" w:pos="9638"/>
        </w:tabs>
        <w:rPr>
          <w:rStyle w:val="Internetlink"/>
        </w:rPr>
      </w:pPr>
      <w:hyperlink w:anchor="__RefHeading___Toc713_731585586" w:history="1">
        <w:r w:rsidR="004F6B6F" w:rsidRPr="00C93A10">
          <w:rPr>
            <w:rStyle w:val="Internetlink"/>
          </w:rPr>
          <w:t>Background</w:t>
        </w:r>
      </w:hyperlink>
    </w:p>
    <w:p w14:paraId="6C3BD6C3" w14:textId="77777777" w:rsidR="0087698B" w:rsidRPr="00DE2866" w:rsidRDefault="00B8109E">
      <w:pPr>
        <w:pStyle w:val="Contents2"/>
        <w:tabs>
          <w:tab w:val="clear" w:pos="9638"/>
        </w:tabs>
        <w:rPr>
          <w:rStyle w:val="Internetlink"/>
        </w:rPr>
      </w:pPr>
      <w:hyperlink w:anchor="__RefHeading___Toc715_731585586" w:history="1">
        <w:r w:rsidR="004F6B6F" w:rsidRPr="00DE2866">
          <w:rPr>
            <w:rStyle w:val="Internetlink"/>
          </w:rPr>
          <w:t>Reference Regions</w:t>
        </w:r>
      </w:hyperlink>
    </w:p>
    <w:p w14:paraId="4EAADD44" w14:textId="77777777" w:rsidR="0087698B" w:rsidRPr="00DE2866" w:rsidRDefault="00B8109E">
      <w:pPr>
        <w:pStyle w:val="Contents2"/>
        <w:tabs>
          <w:tab w:val="clear" w:pos="9638"/>
        </w:tabs>
        <w:rPr>
          <w:rStyle w:val="Internetlink"/>
        </w:rPr>
      </w:pPr>
      <w:hyperlink w:anchor="__RefHeading___Toc3064_1138715457" w:history="1">
        <w:r w:rsidR="004F6B6F" w:rsidRPr="00DE2866">
          <w:rPr>
            <w:rStyle w:val="Internetlink"/>
          </w:rPr>
          <w:t>Input Functions</w:t>
        </w:r>
      </w:hyperlink>
    </w:p>
    <w:p w14:paraId="0BF75F3C" w14:textId="77777777" w:rsidR="0087698B" w:rsidRPr="00DE2866" w:rsidRDefault="00B8109E">
      <w:pPr>
        <w:pStyle w:val="Contents2"/>
        <w:tabs>
          <w:tab w:val="clear" w:pos="9638"/>
        </w:tabs>
        <w:rPr>
          <w:rStyle w:val="Internetlink"/>
        </w:rPr>
      </w:pPr>
      <w:hyperlink w:anchor="__RefHeading___Toc717_731585586" w:history="1">
        <w:r w:rsidR="004F6B6F" w:rsidRPr="00DE2866">
          <w:rPr>
            <w:rStyle w:val="Internetlink"/>
          </w:rPr>
          <w:t>Ratio</w:t>
        </w:r>
      </w:hyperlink>
    </w:p>
    <w:p w14:paraId="2C0D38FF" w14:textId="77777777" w:rsidR="0087698B" w:rsidRPr="00DE2866" w:rsidRDefault="00B8109E">
      <w:pPr>
        <w:pStyle w:val="Contents2"/>
        <w:tabs>
          <w:tab w:val="clear" w:pos="9638"/>
        </w:tabs>
        <w:rPr>
          <w:rStyle w:val="Internetlink"/>
        </w:rPr>
      </w:pPr>
      <w:hyperlink w:anchor="__RefHeading___Toc719_731585586" w:history="1">
        <w:r w:rsidR="004F6B6F" w:rsidRPr="00DE2866">
          <w:rPr>
            <w:rStyle w:val="Internetlink"/>
          </w:rPr>
          <w:t>No Image model</w:t>
        </w:r>
      </w:hyperlink>
    </w:p>
    <w:p w14:paraId="12504AF5" w14:textId="77777777" w:rsidR="0087698B" w:rsidRPr="00DE2866" w:rsidRDefault="00B8109E">
      <w:pPr>
        <w:pStyle w:val="Contents2"/>
        <w:tabs>
          <w:tab w:val="clear" w:pos="9638"/>
        </w:tabs>
        <w:rPr>
          <w:rStyle w:val="Internetlink"/>
        </w:rPr>
      </w:pPr>
      <w:hyperlink w:anchor="__RefHeading___Toc721_731585586" w:history="1">
        <w:r w:rsidR="004F6B6F" w:rsidRPr="00DE2866">
          <w:rPr>
            <w:rStyle w:val="Internetlink"/>
          </w:rPr>
          <w:t>Multiple Time Graphical Analysis</w:t>
        </w:r>
      </w:hyperlink>
    </w:p>
    <w:p w14:paraId="2D5854F3" w14:textId="77777777" w:rsidR="0087698B" w:rsidRPr="00DE2866" w:rsidRDefault="00B8109E">
      <w:pPr>
        <w:pStyle w:val="Contents2"/>
        <w:tabs>
          <w:tab w:val="clear" w:pos="9638"/>
        </w:tabs>
        <w:rPr>
          <w:rStyle w:val="Internetlink"/>
        </w:rPr>
      </w:pPr>
      <w:hyperlink w:anchor="__RefHeading___Toc723_731585586" w:history="1">
        <w:r w:rsidR="004F6B6F" w:rsidRPr="00DE2866">
          <w:rPr>
            <w:rStyle w:val="Internetlink"/>
          </w:rPr>
          <w:t>Receptor models (= reversible binding)</w:t>
        </w:r>
      </w:hyperlink>
    </w:p>
    <w:p w14:paraId="30BFADBE" w14:textId="77777777" w:rsidR="0087698B" w:rsidRPr="00DE2866" w:rsidRDefault="00B8109E">
      <w:pPr>
        <w:pStyle w:val="Contents4"/>
        <w:tabs>
          <w:tab w:val="clear" w:pos="9638"/>
        </w:tabs>
        <w:rPr>
          <w:rStyle w:val="Internetlink"/>
        </w:rPr>
      </w:pPr>
      <w:hyperlink w:anchor="__RefHeading___Toc725_731585586" w:history="1">
        <w:r w:rsidR="004F6B6F" w:rsidRPr="00DE2866">
          <w:rPr>
            <w:rStyle w:val="Internetlink"/>
          </w:rPr>
          <w:t>Reference Logan.</w:t>
        </w:r>
      </w:hyperlink>
    </w:p>
    <w:p w14:paraId="44792618" w14:textId="77777777" w:rsidR="0087698B" w:rsidRPr="00DE2866" w:rsidRDefault="00B8109E">
      <w:pPr>
        <w:pStyle w:val="Contents4"/>
        <w:tabs>
          <w:tab w:val="clear" w:pos="9638"/>
        </w:tabs>
        <w:rPr>
          <w:rStyle w:val="Internetlink"/>
        </w:rPr>
      </w:pPr>
      <w:hyperlink w:anchor="__RefHeading___Toc727_731585586" w:history="1">
        <w:r w:rsidR="004F6B6F" w:rsidRPr="00DE2866">
          <w:rPr>
            <w:rStyle w:val="Internetlink"/>
          </w:rPr>
          <w:t>Zhou Logan-model</w:t>
        </w:r>
      </w:hyperlink>
    </w:p>
    <w:p w14:paraId="76B738E9" w14:textId="77777777" w:rsidR="0087698B" w:rsidRPr="00DE2866" w:rsidRDefault="00B8109E">
      <w:pPr>
        <w:pStyle w:val="Contents4"/>
        <w:tabs>
          <w:tab w:val="clear" w:pos="9638"/>
        </w:tabs>
        <w:rPr>
          <w:rStyle w:val="Internetlink"/>
        </w:rPr>
      </w:pPr>
      <w:hyperlink w:anchor="__RefHeading___Toc729_731585586" w:history="1">
        <w:r w:rsidR="004F6B6F" w:rsidRPr="00DE2866">
          <w:rPr>
            <w:rStyle w:val="Internetlink"/>
          </w:rPr>
          <w:t>SRTM – Simplified Reference Tissue Model</w:t>
        </w:r>
      </w:hyperlink>
    </w:p>
    <w:p w14:paraId="6E0F4CCF" w14:textId="77777777" w:rsidR="0087698B" w:rsidRPr="00DE2866" w:rsidRDefault="00B8109E">
      <w:pPr>
        <w:pStyle w:val="Contents4"/>
        <w:tabs>
          <w:tab w:val="clear" w:pos="9638"/>
        </w:tabs>
        <w:rPr>
          <w:rStyle w:val="Internetlink"/>
        </w:rPr>
      </w:pPr>
      <w:hyperlink w:anchor="__RefHeading___Toc731_731585586" w:history="1">
        <w:r w:rsidR="004F6B6F" w:rsidRPr="00DE2866">
          <w:rPr>
            <w:rStyle w:val="Internetlink"/>
          </w:rPr>
          <w:t>SRTM2 – Two-step Simplified Reference Tissue Model</w:t>
        </w:r>
      </w:hyperlink>
    </w:p>
    <w:p w14:paraId="5C029F4D" w14:textId="77777777" w:rsidR="0087698B" w:rsidRPr="00DE2866" w:rsidRDefault="00B8109E">
      <w:pPr>
        <w:pStyle w:val="Contents4"/>
        <w:tabs>
          <w:tab w:val="clear" w:pos="9638"/>
        </w:tabs>
        <w:rPr>
          <w:rStyle w:val="Internetlink"/>
        </w:rPr>
      </w:pPr>
      <w:hyperlink w:anchor="__RefHeading___Toc733_731585586" w:history="1">
        <w:r w:rsidR="004F6B6F" w:rsidRPr="00DE2866">
          <w:rPr>
            <w:rStyle w:val="Internetlink"/>
          </w:rPr>
          <w:t xml:space="preserve">Extended SRTM – change of condition at a time point </w:t>
        </w:r>
      </w:hyperlink>
      <w:hyperlink w:anchor="__RefHeading___Toc733_731585586" w:history="1">
        <w:r w:rsidR="004F6B6F" w:rsidRPr="00DE2866">
          <w:rPr>
            <w:rStyle w:val="Internetlink"/>
          </w:rPr>
          <w:t>T</w:t>
        </w:r>
      </w:hyperlink>
      <w:hyperlink w:anchor="__RefHeading___Toc733_731585586" w:history="1">
        <w:r w:rsidR="004F6B6F" w:rsidRPr="00DE2866">
          <w:rPr>
            <w:rStyle w:val="Internetlink"/>
          </w:rPr>
          <w:t>0</w:t>
        </w:r>
      </w:hyperlink>
    </w:p>
    <w:p w14:paraId="6BA641C9" w14:textId="77777777" w:rsidR="0087698B" w:rsidRPr="00DE2866" w:rsidRDefault="00B8109E">
      <w:pPr>
        <w:pStyle w:val="Contents2"/>
        <w:tabs>
          <w:tab w:val="clear" w:pos="9638"/>
        </w:tabs>
        <w:rPr>
          <w:rStyle w:val="Internetlink"/>
        </w:rPr>
      </w:pPr>
      <w:hyperlink w:anchor="__RefHeading___Toc3066_1138715457" w:history="1">
        <w:r w:rsidR="004F6B6F" w:rsidRPr="00DE2866">
          <w:rPr>
            <w:rStyle w:val="Internetlink"/>
          </w:rPr>
          <w:t>Irreversible models</w:t>
        </w:r>
      </w:hyperlink>
    </w:p>
    <w:p w14:paraId="64369CAD" w14:textId="77777777" w:rsidR="0087698B" w:rsidRPr="00DE2866" w:rsidRDefault="00B8109E">
      <w:pPr>
        <w:pStyle w:val="Contents4"/>
        <w:tabs>
          <w:tab w:val="clear" w:pos="9638"/>
        </w:tabs>
        <w:rPr>
          <w:rStyle w:val="Internetlink"/>
        </w:rPr>
      </w:pPr>
      <w:hyperlink w:anchor="__RefHeading___Toc735_731585586" w:history="1">
        <w:r w:rsidR="004F6B6F" w:rsidRPr="00DE2866">
          <w:rPr>
            <w:rStyle w:val="Internetlink"/>
          </w:rPr>
          <w:t>Patlak Model</w:t>
        </w:r>
      </w:hyperlink>
    </w:p>
    <w:p w14:paraId="1E257EFA" w14:textId="77777777" w:rsidR="0087698B" w:rsidRPr="00DE2866" w:rsidRDefault="00B8109E">
      <w:pPr>
        <w:pStyle w:val="Contents4"/>
        <w:tabs>
          <w:tab w:val="clear" w:pos="9638"/>
        </w:tabs>
        <w:rPr>
          <w:rStyle w:val="Internetlink"/>
        </w:rPr>
      </w:pPr>
      <w:hyperlink w:anchor="__RefHeading___Toc737_731585586" w:history="1">
        <w:r w:rsidR="004F6B6F" w:rsidRPr="00DE2866">
          <w:rPr>
            <w:rStyle w:val="Internetlink"/>
          </w:rPr>
          <w:t>Reference Patlak Model</w:t>
        </w:r>
      </w:hyperlink>
    </w:p>
    <w:p w14:paraId="1F850667" w14:textId="77777777" w:rsidR="0087698B" w:rsidRPr="00DE2866" w:rsidRDefault="00B8109E">
      <w:pPr>
        <w:pStyle w:val="Contents2"/>
        <w:tabs>
          <w:tab w:val="clear" w:pos="9638"/>
        </w:tabs>
        <w:rPr>
          <w:rStyle w:val="Internetlink"/>
        </w:rPr>
      </w:pPr>
      <w:hyperlink w:anchor="__RefHeading___Toc3068_1138715457" w:history="1">
        <w:r w:rsidR="004F6B6F" w:rsidRPr="00DE2866">
          <w:rPr>
            <w:rStyle w:val="Internetlink"/>
          </w:rPr>
          <w:t>Perfusion models</w:t>
        </w:r>
      </w:hyperlink>
    </w:p>
    <w:p w14:paraId="4D535F21" w14:textId="77777777" w:rsidR="0087698B" w:rsidRPr="00DE2866" w:rsidRDefault="00B8109E">
      <w:pPr>
        <w:pStyle w:val="Contents4"/>
        <w:tabs>
          <w:tab w:val="clear" w:pos="9638"/>
        </w:tabs>
        <w:rPr>
          <w:rStyle w:val="Internetlink"/>
        </w:rPr>
      </w:pPr>
      <w:hyperlink w:anchor="__RefHeading___Toc739_731585586" w:history="1">
        <w:r w:rsidR="004F6B6F" w:rsidRPr="00DE2866">
          <w:rPr>
            <w:rStyle w:val="Internetlink"/>
          </w:rPr>
          <w:t>Water double-integral model</w:t>
        </w:r>
      </w:hyperlink>
    </w:p>
    <w:p w14:paraId="12755A4B" w14:textId="77777777" w:rsidR="0087698B" w:rsidRPr="00DE2866" w:rsidRDefault="00B8109E">
      <w:pPr>
        <w:pStyle w:val="Contents4"/>
        <w:tabs>
          <w:tab w:val="clear" w:pos="9638"/>
        </w:tabs>
        <w:rPr>
          <w:rStyle w:val="Internetlink"/>
        </w:rPr>
      </w:pPr>
      <w:hyperlink w:anchor="__RefHeading___Toc739_7315855861" w:history="1">
        <w:r w:rsidR="004F6B6F" w:rsidRPr="00DE2866">
          <w:rPr>
            <w:rStyle w:val="Internetlink"/>
          </w:rPr>
          <w:t>Water Perfusion with input function</w:t>
        </w:r>
      </w:hyperlink>
    </w:p>
    <w:p w14:paraId="3B15B8E7" w14:textId="77777777" w:rsidR="0087698B" w:rsidRDefault="004F6B6F">
      <w:pPr>
        <w:pStyle w:val="Rubrik2"/>
        <w:rPr>
          <w:rFonts w:hint="eastAsia"/>
        </w:rPr>
      </w:pPr>
      <w:r>
        <w:fldChar w:fldCharType="end"/>
      </w:r>
    </w:p>
    <w:p w14:paraId="4B633E99" w14:textId="77777777" w:rsidR="0087698B" w:rsidRDefault="004F6B6F">
      <w:pPr>
        <w:pStyle w:val="Rubrik1"/>
        <w:rPr>
          <w:rFonts w:hint="eastAsia"/>
        </w:rPr>
      </w:pPr>
      <w:bookmarkStart w:id="0" w:name="__RefHeading___Toc713_731585586"/>
      <w:r>
        <w:t>Background</w:t>
      </w:r>
      <w:bookmarkEnd w:id="0"/>
    </w:p>
    <w:p w14:paraId="396554C4" w14:textId="77777777" w:rsidR="0087698B" w:rsidRDefault="004F6B6F">
      <w:pPr>
        <w:pStyle w:val="Textbody"/>
      </w:pPr>
      <w:r>
        <w:t>Imlook4d handles a number of pharmaco-kinetic models for dynamic PET scans.</w:t>
      </w:r>
    </w:p>
    <w:p w14:paraId="7F71AD3B" w14:textId="77777777" w:rsidR="0087698B" w:rsidRDefault="004F6B6F">
      <w:pPr>
        <w:pStyle w:val="Textbody"/>
      </w:pPr>
      <w:r>
        <w:t xml:space="preserve">Most of the models described can be calculated for a region-of-interest, or as parametric images (in which each pixel is handled as a region-of-interest).  Therefore, in below descriptions, region-of-interest can be read as </w:t>
      </w:r>
      <w:r>
        <w:rPr>
          <w:u w:val="single"/>
        </w:rPr>
        <w:t>either</w:t>
      </w:r>
      <w:r>
        <w:t xml:space="preserve"> region-of-interest </w:t>
      </w:r>
      <w:r>
        <w:rPr>
          <w:u w:val="single"/>
        </w:rPr>
        <w:t>or</w:t>
      </w:r>
      <w:r>
        <w:t xml:space="preserve"> pixel, depending what you wish to calculate.</w:t>
      </w:r>
    </w:p>
    <w:p w14:paraId="470F9BF5" w14:textId="77777777" w:rsidR="0087698B" w:rsidRDefault="004F6B6F">
      <w:pPr>
        <w:pStyle w:val="Textbody"/>
      </w:pPr>
      <w:r>
        <w:t>Models on ROIs are started from the “SCRIPTS/Model on ROIs” menu.</w:t>
      </w:r>
    </w:p>
    <w:p w14:paraId="3CDED2A8" w14:textId="77777777" w:rsidR="0087698B" w:rsidRDefault="004F6B6F">
      <w:pPr>
        <w:pStyle w:val="Textbody"/>
      </w:pPr>
      <w:r>
        <w:t>Models on images are started from the “MODELS” menu.</w:t>
      </w:r>
    </w:p>
    <w:p w14:paraId="4B4449E7" w14:textId="77777777" w:rsidR="0087698B" w:rsidRDefault="004F6B6F">
      <w:pPr>
        <w:pStyle w:val="Rubrik1"/>
        <w:rPr>
          <w:rFonts w:hint="eastAsia"/>
        </w:rPr>
      </w:pPr>
      <w:bookmarkStart w:id="1" w:name="__RefHeading___Toc715_731585586"/>
      <w:r>
        <w:t>Reference Regions</w:t>
      </w:r>
      <w:bookmarkEnd w:id="1"/>
    </w:p>
    <w:p w14:paraId="15D3F8B7" w14:textId="77777777" w:rsidR="0087698B" w:rsidRDefault="004F6B6F">
      <w:pPr>
        <w:pStyle w:val="Textbody"/>
      </w:pPr>
      <w:r>
        <w:t xml:space="preserve">Most of the models are based on reference regions. The assumption is that a reference region very similar to the regions you want to study exists, with the only difference that an uptake mechanism (receptors or other binding) is also present.  </w:t>
      </w:r>
    </w:p>
    <w:p w14:paraId="7FF93721" w14:textId="77777777" w:rsidR="0087698B" w:rsidRDefault="004F6B6F">
      <w:pPr>
        <w:pStyle w:val="Textbody"/>
      </w:pPr>
      <w:r>
        <w:t>In order to calculate a model, a reference region has to be defined.</w:t>
      </w:r>
    </w:p>
    <w:p w14:paraId="16C4E51A" w14:textId="77777777" w:rsidR="0087698B" w:rsidRDefault="004F6B6F">
      <w:pPr>
        <w:pStyle w:val="Textbody"/>
      </w:pPr>
      <w:r>
        <w:t>In imlook4d, the reference region is defined as one region-of-interest (ROI), or a combination of multiple ROIs.  First ROIs are drawn, and secondly the user defines which ROIs should be used as a reference region.  “Select Reference region” command can be selected from either the “SCRIPTS/Model on ROIs/Select Reference region” menu, or from “MODELS/ Select Reference region” menu.  Trying to invoke a model without a defined reference region, will directly open the reference region selection dialog.</w:t>
      </w:r>
    </w:p>
    <w:p w14:paraId="1A95D084" w14:textId="77777777" w:rsidR="0087698B" w:rsidRDefault="004F6B6F">
      <w:pPr>
        <w:pStyle w:val="Rubrik1"/>
        <w:rPr>
          <w:rFonts w:hint="eastAsia"/>
        </w:rPr>
      </w:pPr>
      <w:bookmarkStart w:id="2" w:name="__RefHeading___Toc3064_1138715457"/>
      <w:r>
        <w:t>Input Functions</w:t>
      </w:r>
      <w:bookmarkEnd w:id="2"/>
    </w:p>
    <w:p w14:paraId="006D2908" w14:textId="77777777" w:rsidR="0087698B" w:rsidRDefault="004F6B6F">
      <w:pPr>
        <w:pStyle w:val="Textbody"/>
      </w:pPr>
      <w:r>
        <w:t xml:space="preserve">Some of the models are </w:t>
      </w:r>
      <w:r>
        <w:rPr>
          <w:u w:val="single"/>
        </w:rPr>
        <w:t>not</w:t>
      </w:r>
      <w:r>
        <w:t xml:space="preserve"> based on reference regions. Instead, an input function describing the arterial input of the intact tracer is needed.  </w:t>
      </w:r>
    </w:p>
    <w:p w14:paraId="76CBB98C" w14:textId="6A6D1C13" w:rsidR="0087698B" w:rsidRDefault="004F6B6F">
      <w:pPr>
        <w:pStyle w:val="Textbody"/>
      </w:pPr>
      <w:r>
        <w:t xml:space="preserve">In order to calculate a model, </w:t>
      </w:r>
      <w:r w:rsidR="00AC72D9">
        <w:t>the</w:t>
      </w:r>
      <w:r>
        <w:t xml:space="preserve"> input function has to be defined.</w:t>
      </w:r>
    </w:p>
    <w:p w14:paraId="009A1F0F" w14:textId="62AF1376" w:rsidR="0087698B" w:rsidRDefault="004F6B6F">
      <w:pPr>
        <w:pStyle w:val="Textbody"/>
      </w:pPr>
      <w:r>
        <w:t xml:space="preserve">In imlook4d, the input function is stored in a variable (Cinp is a good name, but you are free to </w:t>
      </w:r>
      <w:r w:rsidR="00AC72D9">
        <w:t>choose</w:t>
      </w:r>
      <w:r>
        <w:t xml:space="preserve"> any name).  The time frames should be the same as the PET frames.</w:t>
      </w:r>
    </w:p>
    <w:p w14:paraId="33A63062" w14:textId="77777777" w:rsidR="0087698B" w:rsidRDefault="004F6B6F">
      <w:pPr>
        <w:pStyle w:val="Rubrik1"/>
        <w:rPr>
          <w:rFonts w:hint="eastAsia"/>
        </w:rPr>
      </w:pPr>
      <w:bookmarkStart w:id="3" w:name="__RefHeading___Toc717_731585586"/>
      <w:r>
        <w:t>Ratio</w:t>
      </w:r>
      <w:bookmarkEnd w:id="3"/>
    </w:p>
    <w:p w14:paraId="099AE058" w14:textId="77777777" w:rsidR="0087698B" w:rsidRDefault="004F6B6F">
      <w:pPr>
        <w:pStyle w:val="Textbody"/>
      </w:pPr>
      <w:r>
        <w:t>This is strictly speaking not a model, but just the ROI, or image, divided by the reference region value.</w:t>
      </w:r>
    </w:p>
    <w:p w14:paraId="159D4C8D" w14:textId="77777777" w:rsidR="0087698B" w:rsidRDefault="004F6B6F">
      <w:pPr>
        <w:pStyle w:val="Rubrik1"/>
        <w:rPr>
          <w:rFonts w:hint="eastAsia"/>
        </w:rPr>
      </w:pPr>
      <w:bookmarkStart w:id="4" w:name="__RefHeading___Toc719_731585586"/>
      <w:r>
        <w:t>No Image model</w:t>
      </w:r>
      <w:bookmarkEnd w:id="4"/>
    </w:p>
    <w:p w14:paraId="4E8E7E5F" w14:textId="77777777" w:rsidR="0087698B" w:rsidRDefault="004F6B6F">
      <w:pPr>
        <w:pStyle w:val="Textbody"/>
      </w:pPr>
      <w:r>
        <w:t>In the MODEL menu, the selection “No Model” resets the image to show the normal uptake.  This is how you get out of displaying parametric images.</w:t>
      </w:r>
    </w:p>
    <w:p w14:paraId="4B92ED19" w14:textId="77777777" w:rsidR="0087698B" w:rsidRDefault="004F6B6F">
      <w:pPr>
        <w:pStyle w:val="Rubrik1"/>
        <w:rPr>
          <w:rFonts w:hint="eastAsia"/>
        </w:rPr>
      </w:pPr>
      <w:bookmarkStart w:id="5" w:name="__RefHeading___Toc721_731585586"/>
      <w:r>
        <w:t>Multiple Time Graphical Analysis</w:t>
      </w:r>
      <w:bookmarkEnd w:id="5"/>
    </w:p>
    <w:p w14:paraId="5E9EAD80" w14:textId="77777777" w:rsidR="0087698B" w:rsidRDefault="004F6B6F">
      <w:pPr>
        <w:pStyle w:val="Textbody"/>
      </w:pPr>
      <w:r>
        <w:t>Sometimes referred to as graphical methods. Turku PET centre describes this class of methods this way: In these methods, the tracer concentration curves of tissue region-of-interest and arterial plasma are transformed and combined into a single curve that approaches linearity when certain conditions are reached. The data could be plotted in a graph, and line can be fitted to the linear phase.</w:t>
      </w:r>
    </w:p>
    <w:p w14:paraId="0872E40A" w14:textId="77777777" w:rsidR="0087698B" w:rsidRDefault="004F6B6F">
      <w:pPr>
        <w:pStyle w:val="Textbody"/>
      </w:pPr>
      <w:r>
        <w:t>Examples of such methods are Logan, Zhou, and Patlak plots (see below).</w:t>
      </w:r>
    </w:p>
    <w:p w14:paraId="3AA3139F" w14:textId="3EFEA387" w:rsidR="0087698B" w:rsidRDefault="004F6B6F">
      <w:pPr>
        <w:pStyle w:val="Textbody"/>
      </w:pPr>
      <w:r>
        <w:t xml:space="preserve">These methods have in common that the start and end of the linear phase has to be defined by the user.  Therefore, typically data is analyzed graphically for ROIs (menu “SCRIPTS/Model on ROIs”), and the user makes a guess of </w:t>
      </w:r>
      <w:r>
        <w:rPr>
          <w:u w:val="single"/>
        </w:rPr>
        <w:t>start</w:t>
      </w:r>
      <w:r>
        <w:t xml:space="preserve"> and </w:t>
      </w:r>
      <w:r>
        <w:rPr>
          <w:u w:val="single"/>
        </w:rPr>
        <w:t>end frames</w:t>
      </w:r>
      <w:r>
        <w:t xml:space="preserve">.  Inspecting the curves for the ROIs, the guess can be updated until the line fits the linear part of the curve.  </w:t>
      </w:r>
      <w:r w:rsidR="00AC72D9">
        <w:t>Typically,</w:t>
      </w:r>
      <w:r>
        <w:t xml:space="preserve"> the </w:t>
      </w:r>
      <w:r>
        <w:rPr>
          <w:u w:val="single"/>
        </w:rPr>
        <w:t>start frame</w:t>
      </w:r>
      <w:r>
        <w:t xml:space="preserve"> is modified, and the </w:t>
      </w:r>
      <w:r>
        <w:rPr>
          <w:u w:val="single"/>
        </w:rPr>
        <w:t>end frame</w:t>
      </w:r>
      <w:r>
        <w:t xml:space="preserve"> is the last frame of the dynamic scan.</w:t>
      </w:r>
    </w:p>
    <w:p w14:paraId="1D349940" w14:textId="49D43687" w:rsidR="0087698B" w:rsidRDefault="004F6B6F">
      <w:pPr>
        <w:pStyle w:val="Textbody"/>
      </w:pPr>
      <w:r>
        <w:rPr>
          <w:noProof/>
        </w:rPr>
        <w:drawing>
          <wp:inline distT="0" distB="0" distL="0" distR="0" wp14:anchorId="7D18C530" wp14:editId="3A51C1F7">
            <wp:extent cx="4032359" cy="2739960"/>
            <wp:effectExtent l="0" t="0" r="0" b="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032359" cy="2739960"/>
                    </a:xfrm>
                    <a:prstGeom prst="rect">
                      <a:avLst/>
                    </a:prstGeom>
                  </pic:spPr>
                </pic:pic>
              </a:graphicData>
            </a:graphic>
          </wp:inline>
        </w:drawing>
      </w:r>
      <w:r>
        <w:t xml:space="preserve">   </w:t>
      </w:r>
      <w:r>
        <w:rPr>
          <w:noProof/>
        </w:rPr>
        <w:drawing>
          <wp:inline distT="0" distB="0" distL="0" distR="0" wp14:anchorId="6D8B0090" wp14:editId="08A17A5E">
            <wp:extent cx="4044239" cy="2748240"/>
            <wp:effectExtent l="0" t="0" r="0" b="0"/>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044239" cy="2748240"/>
                    </a:xfrm>
                    <a:prstGeom prst="rect">
                      <a:avLst/>
                    </a:prstGeom>
                  </pic:spPr>
                </pic:pic>
              </a:graphicData>
            </a:graphic>
          </wp:inline>
        </w:drawing>
      </w:r>
      <w:r>
        <w:br/>
      </w:r>
      <w:r>
        <w:rPr>
          <w:i/>
          <w:iCs/>
          <w:sz w:val="20"/>
          <w:szCs w:val="20"/>
        </w:rPr>
        <w:t xml:space="preserve">Figure1.  </w:t>
      </w:r>
      <w:r>
        <w:rPr>
          <w:i/>
          <w:iCs/>
          <w:sz w:val="20"/>
          <w:szCs w:val="20"/>
        </w:rPr>
        <w:br/>
        <w:t xml:space="preserve">Left), Logan plot for one reference (ROI2) inidicated with “*”, and one region of interest (ROI1).  </w:t>
      </w:r>
      <w:r>
        <w:rPr>
          <w:i/>
          <w:iCs/>
          <w:sz w:val="20"/>
          <w:szCs w:val="20"/>
        </w:rPr>
        <w:br/>
        <w:t>Right) the same graph zoomed in to see that the line fits the linear phase of the curve of the region of interest.</w:t>
      </w:r>
    </w:p>
    <w:p w14:paraId="05E7E19A" w14:textId="77777777" w:rsidR="0087698B" w:rsidRDefault="004F6B6F">
      <w:pPr>
        <w:pStyle w:val="Rubrik1"/>
        <w:rPr>
          <w:rFonts w:hint="eastAsia"/>
        </w:rPr>
      </w:pPr>
      <w:bookmarkStart w:id="6" w:name="__RefHeading___Toc723_731585586"/>
      <w:r>
        <w:t>Receptor models (= reversible binding)</w:t>
      </w:r>
      <w:bookmarkEnd w:id="6"/>
    </w:p>
    <w:p w14:paraId="2BC69103" w14:textId="4CC4187B" w:rsidR="0087698B" w:rsidRDefault="004F6B6F">
      <w:pPr>
        <w:pStyle w:val="Textbody"/>
      </w:pPr>
      <w:r>
        <w:t xml:space="preserve">The following models are implemented both for ROIs, and for making model images (parametric images). The models calculate non-displaceable Binding Potential, </w:t>
      </w:r>
      <w:r>
        <w:rPr>
          <w:i/>
          <w:iCs/>
        </w:rPr>
        <w:t>BP</w:t>
      </w:r>
      <w:r>
        <w:rPr>
          <w:i/>
          <w:iCs/>
          <w:vertAlign w:val="subscript"/>
        </w:rPr>
        <w:t>ND</w:t>
      </w:r>
      <w:r>
        <w:t xml:space="preserve">, which is a combined measure of available receptor density </w:t>
      </w:r>
      <w:r>
        <w:rPr>
          <w:i/>
          <w:iCs/>
        </w:rPr>
        <w:t>B</w:t>
      </w:r>
      <w:r>
        <w:rPr>
          <w:i/>
          <w:iCs/>
          <w:vertAlign w:val="subscript"/>
        </w:rPr>
        <w:t>avail</w:t>
      </w:r>
      <w:r>
        <w:rPr>
          <w:i/>
          <w:iCs/>
        </w:rPr>
        <w:t xml:space="preserve"> </w:t>
      </w:r>
      <w:r>
        <w:t xml:space="preserve">and affinity </w:t>
      </w:r>
      <w:r w:rsidRPr="00AC72D9">
        <w:rPr>
          <w:i/>
          <w:iCs/>
        </w:rPr>
        <w:t>1/K</w:t>
      </w:r>
      <w:r w:rsidRPr="00AC72D9">
        <w:rPr>
          <w:i/>
          <w:iCs/>
          <w:vertAlign w:val="subscript"/>
        </w:rPr>
        <w:t>D</w:t>
      </w:r>
      <w:r>
        <w:t xml:space="preserve">.  </w:t>
      </w:r>
      <w:r>
        <w:rPr>
          <w:i/>
          <w:iCs/>
        </w:rPr>
        <w:t>BP</w:t>
      </w:r>
      <w:r>
        <w:rPr>
          <w:i/>
          <w:iCs/>
          <w:vertAlign w:val="subscript"/>
        </w:rPr>
        <w:t xml:space="preserve">ND </w:t>
      </w:r>
      <w:r>
        <w:t xml:space="preserve">= </w:t>
      </w:r>
      <w:r>
        <w:rPr>
          <w:i/>
          <w:iCs/>
        </w:rPr>
        <w:t>B</w:t>
      </w:r>
      <w:r>
        <w:rPr>
          <w:i/>
          <w:iCs/>
          <w:vertAlign w:val="subscript"/>
        </w:rPr>
        <w:t>avail</w:t>
      </w:r>
      <w:r>
        <w:rPr>
          <w:i/>
          <w:iCs/>
        </w:rPr>
        <w:t xml:space="preserve"> / K</w:t>
      </w:r>
      <w:r>
        <w:rPr>
          <w:i/>
          <w:iCs/>
          <w:vertAlign w:val="subscript"/>
        </w:rPr>
        <w:t>D</w:t>
      </w:r>
      <w:r>
        <w:t>.</w:t>
      </w:r>
      <w:r>
        <w:rPr>
          <w:i/>
          <w:iCs/>
          <w:vertAlign w:val="subscript"/>
        </w:rPr>
        <w:t xml:space="preserve">  </w:t>
      </w:r>
      <w:r>
        <w:t>Many of the models gives additional parameters, at the cost of robustness especially for model images. Therefore, the choice of model is dependent on data quality and what parameters are of interest.</w:t>
      </w:r>
    </w:p>
    <w:p w14:paraId="7BB5DF2D" w14:textId="77777777" w:rsidR="0087698B" w:rsidRDefault="004F6B6F">
      <w:pPr>
        <w:pStyle w:val="Rubrik2"/>
        <w:rPr>
          <w:rFonts w:hint="eastAsia"/>
        </w:rPr>
      </w:pPr>
      <w:bookmarkStart w:id="7" w:name="__RefHeading___Toc725_731585586"/>
      <w:r>
        <w:t xml:space="preserve">Reference Logan.  </w:t>
      </w:r>
      <w:bookmarkEnd w:id="7"/>
    </w:p>
    <w:p w14:paraId="0B3FBF4E" w14:textId="19EBFD3A" w:rsidR="0087698B" w:rsidRDefault="004F6B6F">
      <w:pPr>
        <w:pStyle w:val="Textbody"/>
        <w:numPr>
          <w:ilvl w:val="0"/>
          <w:numId w:val="1"/>
        </w:numPr>
      </w:pPr>
      <w:r>
        <w:t xml:space="preserve">This model calculates the so called non-displaceable Binding Potential, </w:t>
      </w:r>
      <w:r>
        <w:rPr>
          <w:i/>
          <w:iCs/>
        </w:rPr>
        <w:t>BP</w:t>
      </w:r>
      <w:r>
        <w:rPr>
          <w:i/>
          <w:iCs/>
          <w:vertAlign w:val="subscript"/>
        </w:rPr>
        <w:t>ND</w:t>
      </w:r>
      <w:r>
        <w:t xml:space="preserve">, using a reference region.  For most tracers, cerebellum is devoid of receptors and used as a reference region. Calculates: </w:t>
      </w:r>
      <w:r>
        <w:br/>
        <w:t xml:space="preserve">- </w:t>
      </w:r>
      <w:r>
        <w:rPr>
          <w:i/>
          <w:iCs/>
        </w:rPr>
        <w:t>BP</w:t>
      </w:r>
      <w:r>
        <w:rPr>
          <w:i/>
          <w:iCs/>
          <w:vertAlign w:val="subscript"/>
        </w:rPr>
        <w:t>ND</w:t>
      </w:r>
      <w:r>
        <w:br/>
      </w:r>
      <w:r>
        <w:br/>
        <w:t>Input parameters are:</w:t>
      </w:r>
      <w:r>
        <w:br/>
        <w:t>- start frame (see Multiple Time Graphical Analysis above, on how to determine start frame)</w:t>
      </w:r>
      <w:r>
        <w:br/>
        <w:t>- end frame</w:t>
      </w:r>
      <w:r>
        <w:br/>
        <w:t xml:space="preserve">- </w:t>
      </w:r>
      <w:r>
        <w:rPr>
          <w:i/>
          <w:iCs/>
        </w:rPr>
        <w:t>k</w:t>
      </w:r>
      <w:r>
        <w:rPr>
          <w:i/>
          <w:iCs/>
          <w:vertAlign w:val="subscript"/>
        </w:rPr>
        <w:t>2p</w:t>
      </w:r>
      <w:r>
        <w:t xml:space="preserve"> transport from free to plasma, which for some tracers (for instance raclopride) can be ignored by leaving this field </w:t>
      </w:r>
      <w:r>
        <w:rPr>
          <w:u w:val="single"/>
        </w:rPr>
        <w:t>blank</w:t>
      </w:r>
      <w:r>
        <w:t xml:space="preserve"> </w:t>
      </w:r>
      <w:r>
        <w:rPr>
          <w:u w:val="single"/>
        </w:rPr>
        <w:t xml:space="preserve">(value 0 </w:t>
      </w:r>
      <w:r>
        <w:t>is not allowed).</w:t>
      </w:r>
    </w:p>
    <w:p w14:paraId="279AD3DA" w14:textId="0E203A04" w:rsidR="0087698B" w:rsidRDefault="004F6B6F" w:rsidP="00BA1DE8">
      <w:pPr>
        <w:pStyle w:val="Textbody"/>
        <w:ind w:left="360"/>
      </w:pPr>
      <w:r>
        <w:br/>
        <w:t xml:space="preserve">See </w:t>
      </w:r>
      <w:hyperlink r:id="rId9" w:history="1">
        <w:r w:rsidRPr="00DE2866">
          <w:rPr>
            <w:rStyle w:val="Internetlink"/>
          </w:rPr>
          <w:t>https://doi.org/10.1016/S0969-8051(00)00137-2</w:t>
        </w:r>
      </w:hyperlink>
      <w:r>
        <w:rPr>
          <w:rFonts w:ascii="Courier" w:hAnsi="Courier"/>
          <w:color w:val="228B22"/>
          <w:sz w:val="20"/>
        </w:rPr>
        <w:br/>
      </w:r>
    </w:p>
    <w:p w14:paraId="79BE14BA" w14:textId="77777777" w:rsidR="0087698B" w:rsidRDefault="004F6B6F">
      <w:pPr>
        <w:pStyle w:val="Rubrik2"/>
        <w:rPr>
          <w:rFonts w:hint="eastAsia"/>
        </w:rPr>
      </w:pPr>
      <w:bookmarkStart w:id="8" w:name="__RefHeading___Toc727_731585586"/>
      <w:r>
        <w:t>Zhou Logan-model</w:t>
      </w:r>
      <w:bookmarkEnd w:id="8"/>
    </w:p>
    <w:p w14:paraId="23A47BD7" w14:textId="77777777" w:rsidR="00BA1DE8" w:rsidRDefault="004F6B6F" w:rsidP="00BA1DE8">
      <w:pPr>
        <w:pStyle w:val="Textbody"/>
        <w:numPr>
          <w:ilvl w:val="0"/>
          <w:numId w:val="1"/>
        </w:numPr>
      </w:pPr>
      <w:r>
        <w:t xml:space="preserve">This is another implementation of reference Logan, which is more robust to noise.  Calculates:   </w:t>
      </w:r>
      <w:r>
        <w:br/>
        <w:t xml:space="preserve">- </w:t>
      </w:r>
      <w:r w:rsidRPr="00BA1DE8">
        <w:rPr>
          <w:i/>
          <w:iCs/>
        </w:rPr>
        <w:t>BP</w:t>
      </w:r>
      <w:r w:rsidRPr="00BA1DE8">
        <w:rPr>
          <w:i/>
          <w:iCs/>
          <w:vertAlign w:val="subscript"/>
        </w:rPr>
        <w:t>ND</w:t>
      </w:r>
      <w:r>
        <w:br/>
      </w:r>
      <w:r>
        <w:br/>
        <w:t>Input parameters are:</w:t>
      </w:r>
      <w:r>
        <w:br/>
        <w:t>- start frame (see Multiple Time Graphical Analysis above, on how to determine start frame)</w:t>
      </w:r>
      <w:r>
        <w:br/>
        <w:t>- end frame</w:t>
      </w:r>
      <w:r>
        <w:br/>
      </w:r>
      <w:r>
        <w:br/>
        <w:t>Zhou is preferred over Logan for model images, since it is more robust on noisy data.</w:t>
      </w:r>
    </w:p>
    <w:p w14:paraId="0C2E2F2A" w14:textId="11B33928" w:rsidR="0087698B" w:rsidRDefault="00BA1DE8" w:rsidP="00BA1DE8">
      <w:pPr>
        <w:pStyle w:val="Textbody"/>
        <w:ind w:left="360"/>
      </w:pPr>
      <w:r>
        <w:br/>
      </w:r>
      <w:r w:rsidR="004F6B6F">
        <w:t xml:space="preserve">See </w:t>
      </w:r>
      <w:hyperlink r:id="rId10" w:history="1">
        <w:r w:rsidR="004F6B6F" w:rsidRPr="00DE2866">
          <w:rPr>
            <w:rStyle w:val="Internetlink"/>
          </w:rPr>
          <w:t>https://doi.org/10.1016/j.neuroimage.2008.09.021</w:t>
        </w:r>
      </w:hyperlink>
      <w:r w:rsidR="004F6B6F" w:rsidRPr="00BA1DE8">
        <w:rPr>
          <w:rFonts w:ascii="Courier" w:hAnsi="Courier"/>
          <w:color w:val="228B22"/>
          <w:sz w:val="20"/>
        </w:rPr>
        <w:br/>
      </w:r>
    </w:p>
    <w:p w14:paraId="62D42104" w14:textId="77777777" w:rsidR="0087698B" w:rsidRDefault="004F6B6F">
      <w:pPr>
        <w:pStyle w:val="Rubrik2"/>
        <w:rPr>
          <w:rFonts w:hint="eastAsia"/>
        </w:rPr>
      </w:pPr>
      <w:bookmarkStart w:id="9" w:name="__RefHeading___Toc729_731585586"/>
      <w:r>
        <w:t>SRTM – Simplified Reference Tissue Model</w:t>
      </w:r>
      <w:bookmarkEnd w:id="9"/>
    </w:p>
    <w:p w14:paraId="7F039095" w14:textId="77777777" w:rsidR="0087698B" w:rsidRDefault="004F6B6F">
      <w:pPr>
        <w:pStyle w:val="Standard"/>
        <w:numPr>
          <w:ilvl w:val="0"/>
          <w:numId w:val="1"/>
        </w:numPr>
      </w:pPr>
      <w:r>
        <w:t xml:space="preserve">assumes, that mathematically, the kinetics of the receptor region and the region of interest is described by the same equation (kinetics not distinguishable).  SRTM model calculates the following parameters: </w:t>
      </w:r>
      <w:r>
        <w:br/>
        <w:t xml:space="preserve">- </w:t>
      </w:r>
      <w:r>
        <w:rPr>
          <w:i/>
          <w:iCs/>
        </w:rPr>
        <w:t>BP</w:t>
      </w:r>
      <w:r>
        <w:rPr>
          <w:i/>
          <w:iCs/>
          <w:vertAlign w:val="subscript"/>
        </w:rPr>
        <w:t>ND</w:t>
      </w:r>
      <w:r>
        <w:br/>
        <w:t xml:space="preserve">- </w:t>
      </w:r>
      <w:r>
        <w:rPr>
          <w:i/>
          <w:iCs/>
        </w:rPr>
        <w:t>R</w:t>
      </w:r>
      <w:r>
        <w:rPr>
          <w:i/>
          <w:iCs/>
          <w:vertAlign w:val="subscript"/>
        </w:rPr>
        <w:t>1</w:t>
      </w:r>
      <w:r>
        <w:rPr>
          <w:i/>
          <w:iCs/>
        </w:rPr>
        <w:t xml:space="preserve"> = K</w:t>
      </w:r>
      <w:r>
        <w:rPr>
          <w:i/>
          <w:iCs/>
          <w:vertAlign w:val="subscript"/>
        </w:rPr>
        <w:t>1</w:t>
      </w:r>
      <w:r>
        <w:rPr>
          <w:i/>
          <w:iCs/>
        </w:rPr>
        <w:t>/K</w:t>
      </w:r>
      <w:r>
        <w:rPr>
          <w:i/>
          <w:iCs/>
          <w:vertAlign w:val="subscript"/>
        </w:rPr>
        <w:t>1ref</w:t>
      </w:r>
      <w:r>
        <w:t xml:space="preserve"> accounting for difference in delivery for region and reference region</w:t>
      </w:r>
      <w:r>
        <w:br/>
        <w:t xml:space="preserve">- </w:t>
      </w:r>
      <w:r>
        <w:rPr>
          <w:i/>
          <w:iCs/>
        </w:rPr>
        <w:t>k</w:t>
      </w:r>
      <w:r>
        <w:rPr>
          <w:i/>
          <w:iCs/>
          <w:vertAlign w:val="subscript"/>
        </w:rPr>
        <w:t>2</w:t>
      </w:r>
      <w:r>
        <w:t xml:space="preserve"> transport from free to plasma in region of interest</w:t>
      </w:r>
      <w:r>
        <w:br/>
        <w:t xml:space="preserve">- </w:t>
      </w:r>
      <w:r>
        <w:rPr>
          <w:i/>
          <w:iCs/>
        </w:rPr>
        <w:t>k</w:t>
      </w:r>
      <w:r>
        <w:rPr>
          <w:i/>
          <w:iCs/>
          <w:vertAlign w:val="subscript"/>
        </w:rPr>
        <w:t>2p</w:t>
      </w:r>
      <w:r>
        <w:t xml:space="preserve"> transport from free to plasma from reference region</w:t>
      </w:r>
      <w:r>
        <w:br/>
      </w:r>
      <w:r>
        <w:br/>
        <w:t>in addition the following parameter, used in the calculation, is reported:</w:t>
      </w:r>
      <w:r>
        <w:br/>
        <w:t>- k</w:t>
      </w:r>
      <w:r>
        <w:rPr>
          <w:vertAlign w:val="subscript"/>
        </w:rPr>
        <w:t>2a</w:t>
      </w:r>
      <w:r>
        <w:t xml:space="preserve"> apparent (overall) rate constant for transfer from specific compartment to plasma. This comes from the assumption of kinetics being hard to distinguish between reference region and region of interest.</w:t>
      </w:r>
    </w:p>
    <w:p w14:paraId="46CEA72E" w14:textId="77777777" w:rsidR="0087698B" w:rsidRDefault="004F6B6F" w:rsidP="00BA1DE8">
      <w:pPr>
        <w:pStyle w:val="Standard"/>
        <w:ind w:left="360"/>
      </w:pPr>
      <w:r>
        <w:br/>
        <w:t>No input parameters asked for.</w:t>
      </w:r>
      <w:r>
        <w:br/>
      </w:r>
      <w:r>
        <w:br/>
        <w:t xml:space="preserve">See </w:t>
      </w:r>
      <w:hyperlink r:id="rId11" w:history="1">
        <w:r w:rsidRPr="00DE2866">
          <w:rPr>
            <w:rStyle w:val="Internetlink"/>
          </w:rPr>
          <w:t>https://doi.org/10.1006/nimg.1996.0066</w:t>
        </w:r>
      </w:hyperlink>
      <w:r>
        <w:rPr>
          <w:rFonts w:ascii="Courier" w:hAnsi="Courier"/>
          <w:color w:val="228B22"/>
          <w:sz w:val="20"/>
        </w:rPr>
        <w:br/>
      </w:r>
    </w:p>
    <w:p w14:paraId="00F05DB7" w14:textId="77777777" w:rsidR="0087698B" w:rsidRDefault="0087698B">
      <w:pPr>
        <w:pStyle w:val="Standard"/>
        <w:rPr>
          <w:rFonts w:ascii="Courier" w:hAnsi="Courier"/>
          <w:color w:val="228B22"/>
          <w:sz w:val="20"/>
        </w:rPr>
      </w:pPr>
    </w:p>
    <w:p w14:paraId="2047EC55" w14:textId="77777777" w:rsidR="0087698B" w:rsidRDefault="004F6B6F">
      <w:pPr>
        <w:pStyle w:val="Rubrik2"/>
        <w:rPr>
          <w:rFonts w:hint="eastAsia"/>
        </w:rPr>
      </w:pPr>
      <w:bookmarkStart w:id="10" w:name="__RefHeading___Toc731_731585586"/>
      <w:r>
        <w:t>SRTM2 – Two-step Simplified Reference Tissue Model</w:t>
      </w:r>
      <w:bookmarkEnd w:id="10"/>
    </w:p>
    <w:p w14:paraId="3EE8B3F9" w14:textId="77777777" w:rsidR="00BA1DE8" w:rsidRDefault="004F6B6F">
      <w:pPr>
        <w:pStyle w:val="Textbody"/>
        <w:numPr>
          <w:ilvl w:val="0"/>
          <w:numId w:val="1"/>
        </w:numPr>
      </w:pPr>
      <w:r>
        <w:t xml:space="preserve">Same assumptions as in SRTM, with addition that k2p is set constant in whole brain.  This model calculates the following parameters: </w:t>
      </w:r>
      <w:r>
        <w:br/>
        <w:t xml:space="preserve">- </w:t>
      </w:r>
      <w:r>
        <w:rPr>
          <w:i/>
          <w:iCs/>
        </w:rPr>
        <w:t>BP</w:t>
      </w:r>
      <w:r>
        <w:rPr>
          <w:i/>
          <w:iCs/>
          <w:vertAlign w:val="subscript"/>
        </w:rPr>
        <w:t>ND</w:t>
      </w:r>
      <w:r>
        <w:br/>
        <w:t xml:space="preserve">- </w:t>
      </w:r>
      <w:r>
        <w:rPr>
          <w:i/>
          <w:iCs/>
        </w:rPr>
        <w:t>R</w:t>
      </w:r>
      <w:r>
        <w:rPr>
          <w:i/>
          <w:iCs/>
          <w:vertAlign w:val="subscript"/>
        </w:rPr>
        <w:t>1</w:t>
      </w:r>
      <w:r>
        <w:rPr>
          <w:i/>
          <w:iCs/>
        </w:rPr>
        <w:t xml:space="preserve"> = K</w:t>
      </w:r>
      <w:r>
        <w:rPr>
          <w:i/>
          <w:iCs/>
          <w:vertAlign w:val="subscript"/>
        </w:rPr>
        <w:t>1</w:t>
      </w:r>
      <w:r>
        <w:rPr>
          <w:i/>
          <w:iCs/>
        </w:rPr>
        <w:t>/K</w:t>
      </w:r>
      <w:r>
        <w:rPr>
          <w:i/>
          <w:iCs/>
          <w:vertAlign w:val="subscript"/>
        </w:rPr>
        <w:t>1ref</w:t>
      </w:r>
      <w:r>
        <w:t xml:space="preserve"> accounting for difference in delivery to region and reference region or pixel</w:t>
      </w:r>
      <w:r>
        <w:br/>
      </w:r>
      <w:r>
        <w:br/>
        <w:t>Input parameter:</w:t>
      </w:r>
      <w:r>
        <w:br/>
        <w:t xml:space="preserve">- </w:t>
      </w:r>
      <w:r>
        <w:rPr>
          <w:i/>
          <w:iCs/>
        </w:rPr>
        <w:t>k2</w:t>
      </w:r>
      <w:r>
        <w:rPr>
          <w:i/>
          <w:iCs/>
          <w:vertAlign w:val="subscript"/>
        </w:rPr>
        <w:t>p</w:t>
      </w:r>
      <w:r>
        <w:t xml:space="preserve"> from SRTM. Constant value for whole brain (or representative regions of interest), calculated using SRTM for brain outside reference region</w:t>
      </w:r>
      <w:r>
        <w:br/>
      </w:r>
      <w:r>
        <w:br/>
        <w:t>SRTM2 is preferred over SRTM for model images, since it is more robust.</w:t>
      </w:r>
    </w:p>
    <w:p w14:paraId="02422ADD" w14:textId="004D3D97" w:rsidR="0087698B" w:rsidRDefault="004F6B6F" w:rsidP="00BA1DE8">
      <w:pPr>
        <w:pStyle w:val="Textbody"/>
        <w:ind w:left="360"/>
      </w:pPr>
      <w:r>
        <w:br/>
        <w:t xml:space="preserve">See </w:t>
      </w:r>
      <w:hyperlink r:id="rId12" w:history="1">
        <w:r w:rsidRPr="00DE2866">
          <w:rPr>
            <w:rStyle w:val="Internetlink"/>
          </w:rPr>
          <w:t>https://doi.org/10.1097/01.WCB.0000033967.83623.34</w:t>
        </w:r>
      </w:hyperlink>
      <w:r>
        <w:rPr>
          <w:rFonts w:ascii="Courier" w:hAnsi="Courier"/>
          <w:color w:val="228B22"/>
          <w:sz w:val="20"/>
        </w:rPr>
        <w:br/>
      </w:r>
      <w:r>
        <w:rPr>
          <w:sz w:val="22"/>
          <w:szCs w:val="22"/>
        </w:rPr>
        <w:t>This reference describes the SRTM2 model as:</w:t>
      </w:r>
      <w:r>
        <w:rPr>
          <w:sz w:val="22"/>
          <w:szCs w:val="22"/>
        </w:rPr>
        <w:br/>
        <w:t>1. Use SRTM to calculate R1, k2, and k</w:t>
      </w:r>
      <w:r w:rsidRPr="00AC72D9">
        <w:rPr>
          <w:sz w:val="22"/>
          <w:szCs w:val="22"/>
          <w:vertAlign w:val="subscript"/>
        </w:rPr>
        <w:t>2p</w:t>
      </w:r>
      <w:r>
        <w:rPr>
          <w:sz w:val="22"/>
          <w:szCs w:val="22"/>
        </w:rPr>
        <w:t xml:space="preserve"> for all brain voxels. Calculate a global k</w:t>
      </w:r>
      <w:r w:rsidRPr="00AC72D9">
        <w:rPr>
          <w:sz w:val="22"/>
          <w:szCs w:val="22"/>
          <w:vertAlign w:val="subscript"/>
        </w:rPr>
        <w:t>2p</w:t>
      </w:r>
      <w:r>
        <w:rPr>
          <w:sz w:val="22"/>
          <w:szCs w:val="22"/>
        </w:rPr>
        <w:t xml:space="preserve"> from all pixels outside the reference region.</w:t>
      </w:r>
      <w:r>
        <w:rPr>
          <w:sz w:val="22"/>
          <w:szCs w:val="22"/>
        </w:rPr>
        <w:br/>
        <w:t>2. Fix k2p to the global value and calculate functional images of BP and R1 (using the SRTM2 function in imlook4d – my comment)</w:t>
      </w:r>
      <w:r>
        <w:rPr>
          <w:sz w:val="22"/>
          <w:szCs w:val="22"/>
        </w:rPr>
        <w:br/>
      </w:r>
    </w:p>
    <w:p w14:paraId="3F72FED2" w14:textId="77777777" w:rsidR="0087698B" w:rsidRDefault="004F6B6F">
      <w:pPr>
        <w:pStyle w:val="Rubrik2"/>
        <w:rPr>
          <w:rFonts w:hint="eastAsia"/>
        </w:rPr>
      </w:pPr>
      <w:bookmarkStart w:id="11" w:name="__RefHeading___Toc733_731585586"/>
      <w:r>
        <w:rPr>
          <w:rFonts w:ascii="Times New Roman" w:hAnsi="Times New Roman"/>
        </w:rPr>
        <w:t>Extended SRTM – change of condition at a time point T</w:t>
      </w:r>
      <w:r>
        <w:rPr>
          <w:rFonts w:ascii="Times New Roman" w:hAnsi="Times New Roman"/>
          <w:vertAlign w:val="subscript"/>
        </w:rPr>
        <w:t>0</w:t>
      </w:r>
      <w:bookmarkEnd w:id="11"/>
    </w:p>
    <w:p w14:paraId="031C9A4F" w14:textId="7B5879C6" w:rsidR="00BA1DE8" w:rsidRPr="00BA1DE8" w:rsidRDefault="004F6B6F">
      <w:pPr>
        <w:pStyle w:val="Textbody"/>
        <w:numPr>
          <w:ilvl w:val="0"/>
          <w:numId w:val="1"/>
        </w:numPr>
        <w:rPr>
          <w:b/>
          <w:bCs/>
        </w:rPr>
      </w:pPr>
      <w:r>
        <w:t xml:space="preserve">The conditions may be a pharmacological challenge, or a task </w:t>
      </w:r>
      <w:r w:rsidR="00AC72D9">
        <w:t>s</w:t>
      </w:r>
      <w:r>
        <w:t xml:space="preserve">witch at time </w:t>
      </w:r>
      <w:r>
        <w:rPr>
          <w:i/>
          <w:iCs/>
        </w:rPr>
        <w:t>T</w:t>
      </w:r>
      <w:r>
        <w:rPr>
          <w:i/>
          <w:iCs/>
          <w:vertAlign w:val="subscript"/>
        </w:rPr>
        <w:t>0</w:t>
      </w:r>
      <w:r>
        <w:rPr>
          <w:i/>
          <w:iCs/>
        </w:rPr>
        <w:t xml:space="preserve"> </w:t>
      </w:r>
      <w:r>
        <w:t xml:space="preserve">within the same scan.  Assumes that all parameters except BP are constant over the whole scan, and that BP changes from constant level </w:t>
      </w:r>
      <w:r>
        <w:rPr>
          <w:i/>
          <w:iCs/>
        </w:rPr>
        <w:t>BP</w:t>
      </w:r>
      <w:r>
        <w:rPr>
          <w:i/>
          <w:iCs/>
          <w:vertAlign w:val="subscript"/>
        </w:rPr>
        <w:t>ND0</w:t>
      </w:r>
      <w:r>
        <w:t xml:space="preserve"> to </w:t>
      </w:r>
      <w:r>
        <w:rPr>
          <w:i/>
          <w:iCs/>
        </w:rPr>
        <w:t>BP</w:t>
      </w:r>
      <w:r>
        <w:rPr>
          <w:i/>
          <w:iCs/>
          <w:vertAlign w:val="subscript"/>
        </w:rPr>
        <w:t>ND1</w:t>
      </w:r>
      <w:r>
        <w:t xml:space="preserve">  at time </w:t>
      </w:r>
      <w:r>
        <w:rPr>
          <w:i/>
          <w:iCs/>
        </w:rPr>
        <w:t>T</w:t>
      </w:r>
      <w:r>
        <w:rPr>
          <w:i/>
          <w:iCs/>
          <w:vertAlign w:val="subscript"/>
        </w:rPr>
        <w:t>0</w:t>
      </w:r>
      <w:r>
        <w:rPr>
          <w:i/>
          <w:iCs/>
        </w:rPr>
        <w:t>.</w:t>
      </w:r>
      <w:r>
        <w:rPr>
          <w:b/>
          <w:bCs/>
          <w:i/>
          <w:iCs/>
        </w:rPr>
        <w:br/>
      </w:r>
      <w:r>
        <w:rPr>
          <w:i/>
          <w:iCs/>
        </w:rPr>
        <w:t xml:space="preserve">- </w:t>
      </w:r>
      <w:r w:rsidR="00AC72D9">
        <w:rPr>
          <w:rFonts w:ascii="Symbol" w:hAnsi="Symbol"/>
          <w:i/>
          <w:iCs/>
        </w:rPr>
        <w:t>D</w:t>
      </w:r>
      <w:r>
        <w:rPr>
          <w:i/>
          <w:iCs/>
        </w:rPr>
        <w:t>BP</w:t>
      </w:r>
      <w:r>
        <w:rPr>
          <w:i/>
          <w:iCs/>
          <w:vertAlign w:val="subscript"/>
        </w:rPr>
        <w:t xml:space="preserve">   </w:t>
      </w:r>
      <w:r>
        <w:t xml:space="preserve">Binding potential difference  = </w:t>
      </w:r>
      <w:r>
        <w:rPr>
          <w:i/>
          <w:iCs/>
        </w:rPr>
        <w:t>BP</w:t>
      </w:r>
      <w:r>
        <w:rPr>
          <w:i/>
          <w:iCs/>
          <w:vertAlign w:val="subscript"/>
        </w:rPr>
        <w:t xml:space="preserve">ND1 </w:t>
      </w:r>
      <w:r>
        <w:rPr>
          <w:i/>
          <w:iCs/>
        </w:rPr>
        <w:t>-</w:t>
      </w:r>
      <w:r>
        <w:t xml:space="preserve">  </w:t>
      </w:r>
      <w:r>
        <w:rPr>
          <w:i/>
          <w:iCs/>
        </w:rPr>
        <w:t>BP</w:t>
      </w:r>
      <w:r>
        <w:rPr>
          <w:i/>
          <w:iCs/>
          <w:vertAlign w:val="subscript"/>
        </w:rPr>
        <w:t xml:space="preserve">ND0 </w:t>
      </w:r>
      <w:r>
        <w:rPr>
          <w:b/>
          <w:bCs/>
        </w:rPr>
        <w:br/>
      </w:r>
      <w:r>
        <w:t xml:space="preserve">- </w:t>
      </w:r>
      <w:r>
        <w:rPr>
          <w:i/>
          <w:iCs/>
        </w:rPr>
        <w:t>BP</w:t>
      </w:r>
      <w:r>
        <w:rPr>
          <w:i/>
          <w:iCs/>
          <w:vertAlign w:val="subscript"/>
        </w:rPr>
        <w:t xml:space="preserve">ND0   </w:t>
      </w:r>
      <w:r>
        <w:t xml:space="preserve">Binding potential before </w:t>
      </w:r>
      <w:r>
        <w:rPr>
          <w:i/>
          <w:iCs/>
        </w:rPr>
        <w:t>T</w:t>
      </w:r>
      <w:r>
        <w:rPr>
          <w:i/>
          <w:iCs/>
          <w:vertAlign w:val="subscript"/>
        </w:rPr>
        <w:t>0</w:t>
      </w:r>
      <w:r>
        <w:br/>
        <w:t xml:space="preserve">- </w:t>
      </w:r>
      <w:r>
        <w:rPr>
          <w:i/>
          <w:iCs/>
        </w:rPr>
        <w:t>BP</w:t>
      </w:r>
      <w:r>
        <w:rPr>
          <w:i/>
          <w:iCs/>
          <w:vertAlign w:val="subscript"/>
        </w:rPr>
        <w:t xml:space="preserve">ND1   </w:t>
      </w:r>
      <w:r>
        <w:t xml:space="preserve">Binding potential after </w:t>
      </w:r>
      <w:r>
        <w:rPr>
          <w:i/>
          <w:iCs/>
        </w:rPr>
        <w:t>T</w:t>
      </w:r>
      <w:r>
        <w:rPr>
          <w:i/>
          <w:iCs/>
          <w:vertAlign w:val="subscript"/>
        </w:rPr>
        <w:t>0</w:t>
      </w:r>
      <w:r>
        <w:rPr>
          <w:i/>
          <w:iCs/>
          <w:vertAlign w:val="subscript"/>
        </w:rPr>
        <w:br/>
      </w:r>
      <w:r>
        <w:t xml:space="preserve">- </w:t>
      </w:r>
      <w:r>
        <w:rPr>
          <w:i/>
          <w:iCs/>
        </w:rPr>
        <w:t>R</w:t>
      </w:r>
      <w:r>
        <w:rPr>
          <w:i/>
          <w:iCs/>
          <w:vertAlign w:val="subscript"/>
        </w:rPr>
        <w:t>1</w:t>
      </w:r>
      <w:r>
        <w:rPr>
          <w:i/>
          <w:iCs/>
        </w:rPr>
        <w:t xml:space="preserve"> = K</w:t>
      </w:r>
      <w:r>
        <w:rPr>
          <w:i/>
          <w:iCs/>
          <w:vertAlign w:val="subscript"/>
        </w:rPr>
        <w:t>1</w:t>
      </w:r>
      <w:r>
        <w:rPr>
          <w:i/>
          <w:iCs/>
        </w:rPr>
        <w:t>/K</w:t>
      </w:r>
      <w:r>
        <w:rPr>
          <w:i/>
          <w:iCs/>
          <w:vertAlign w:val="subscript"/>
        </w:rPr>
        <w:t>1ref</w:t>
      </w:r>
      <w:r>
        <w:t xml:space="preserve"> accounting for difference in delivery for region and reference region</w:t>
      </w:r>
      <w:r>
        <w:br/>
        <w:t xml:space="preserve">- </w:t>
      </w:r>
      <w:r>
        <w:rPr>
          <w:i/>
          <w:iCs/>
        </w:rPr>
        <w:t>k</w:t>
      </w:r>
      <w:r>
        <w:rPr>
          <w:i/>
          <w:iCs/>
          <w:vertAlign w:val="subscript"/>
        </w:rPr>
        <w:t>2</w:t>
      </w:r>
      <w:r>
        <w:t xml:space="preserve"> transport from free to plasma in region of interest</w:t>
      </w:r>
      <w:r>
        <w:br/>
        <w:t xml:space="preserve">- </w:t>
      </w:r>
      <w:r>
        <w:rPr>
          <w:i/>
          <w:iCs/>
        </w:rPr>
        <w:t>k</w:t>
      </w:r>
      <w:r>
        <w:rPr>
          <w:i/>
          <w:iCs/>
          <w:vertAlign w:val="subscript"/>
        </w:rPr>
        <w:t>2p</w:t>
      </w:r>
      <w:r>
        <w:t xml:space="preserve"> transport from free to plasma from reference region</w:t>
      </w:r>
      <w:r>
        <w:br/>
      </w:r>
      <w:r>
        <w:br/>
        <w:t>Input parameter:</w:t>
      </w:r>
      <w:r>
        <w:br/>
        <w:t xml:space="preserve">- Frame number, at which the change in condition occurs.  An experiment is ideally designed so that the change occurs exactly between two frames, so the frame number is the first frame starting at time </w:t>
      </w:r>
      <w:r>
        <w:rPr>
          <w:i/>
          <w:iCs/>
        </w:rPr>
        <w:t>T</w:t>
      </w:r>
      <w:r>
        <w:rPr>
          <w:i/>
          <w:iCs/>
          <w:vertAlign w:val="subscript"/>
        </w:rPr>
        <w:t>0</w:t>
      </w:r>
      <w:r>
        <w:rPr>
          <w:i/>
          <w:iCs/>
        </w:rPr>
        <w:t>.</w:t>
      </w:r>
      <w:r>
        <w:br/>
      </w:r>
      <w:r>
        <w:br/>
        <w:t>in addition the following parameter, used in the calculation, are reported:</w:t>
      </w:r>
      <w:r>
        <w:br/>
        <w:t xml:space="preserve">- </w:t>
      </w:r>
      <w:r>
        <w:rPr>
          <w:i/>
          <w:iCs/>
        </w:rPr>
        <w:t>k</w:t>
      </w:r>
      <w:r>
        <w:rPr>
          <w:i/>
          <w:iCs/>
          <w:vertAlign w:val="subscript"/>
        </w:rPr>
        <w:t>2a</w:t>
      </w:r>
      <w:r>
        <w:rPr>
          <w:i/>
          <w:iCs/>
        </w:rPr>
        <w:t>, k</w:t>
      </w:r>
      <w:r>
        <w:rPr>
          <w:i/>
          <w:iCs/>
          <w:vertAlign w:val="subscript"/>
        </w:rPr>
        <w:t>2b</w:t>
      </w:r>
      <w:r>
        <w:t xml:space="preserve"> apparent (overall) rate constant for transfer from specific compartment to plasma before </w:t>
      </w:r>
      <w:r>
        <w:rPr>
          <w:i/>
          <w:iCs/>
        </w:rPr>
        <w:t>T</w:t>
      </w:r>
      <w:r>
        <w:rPr>
          <w:i/>
          <w:iCs/>
          <w:vertAlign w:val="subscript"/>
        </w:rPr>
        <w:t xml:space="preserve">0 </w:t>
      </w:r>
      <w:r>
        <w:t>(</w:t>
      </w:r>
      <w:r>
        <w:rPr>
          <w:i/>
          <w:iCs/>
        </w:rPr>
        <w:t>k</w:t>
      </w:r>
      <w:r>
        <w:rPr>
          <w:i/>
          <w:iCs/>
          <w:vertAlign w:val="subscript"/>
        </w:rPr>
        <w:t>2a</w:t>
      </w:r>
      <w:r>
        <w:t xml:space="preserve">) and after </w:t>
      </w:r>
      <w:r>
        <w:rPr>
          <w:i/>
          <w:iCs/>
        </w:rPr>
        <w:t>T</w:t>
      </w:r>
      <w:r>
        <w:rPr>
          <w:i/>
          <w:iCs/>
          <w:vertAlign w:val="subscript"/>
        </w:rPr>
        <w:t xml:space="preserve">0 </w:t>
      </w:r>
      <w:r>
        <w:t>(</w:t>
      </w:r>
      <w:r>
        <w:rPr>
          <w:i/>
          <w:iCs/>
        </w:rPr>
        <w:t>k</w:t>
      </w:r>
      <w:r>
        <w:rPr>
          <w:i/>
          <w:iCs/>
          <w:vertAlign w:val="subscript"/>
        </w:rPr>
        <w:t>2b</w:t>
      </w:r>
      <w:r>
        <w:t>). This comes from the assumption of kinetics being hard to distinguish between reference region and region of interest.</w:t>
      </w:r>
      <w:r>
        <w:br/>
      </w:r>
    </w:p>
    <w:p w14:paraId="39A685A9" w14:textId="016E64C5" w:rsidR="0087698B" w:rsidRDefault="004F6B6F" w:rsidP="00BA1DE8">
      <w:pPr>
        <w:pStyle w:val="Textbody"/>
        <w:ind w:left="360"/>
        <w:rPr>
          <w:b/>
          <w:bCs/>
        </w:rPr>
      </w:pPr>
      <w:r>
        <w:t xml:space="preserve">See </w:t>
      </w:r>
      <w:hyperlink r:id="rId13" w:history="1">
        <w:r w:rsidRPr="00DE2866">
          <w:rPr>
            <w:rStyle w:val="Internetlink"/>
          </w:rPr>
          <w:t>https://doi.org/10.1016/j.neuroimage.2006.06.038</w:t>
        </w:r>
      </w:hyperlink>
    </w:p>
    <w:p w14:paraId="44628281" w14:textId="77777777" w:rsidR="0087698B" w:rsidRDefault="0087698B">
      <w:pPr>
        <w:pStyle w:val="Standard"/>
      </w:pPr>
    </w:p>
    <w:p w14:paraId="12356E1A" w14:textId="77777777" w:rsidR="0087698B" w:rsidRDefault="004F6B6F">
      <w:pPr>
        <w:pStyle w:val="Rubrik1"/>
        <w:rPr>
          <w:rFonts w:hint="eastAsia"/>
        </w:rPr>
      </w:pPr>
      <w:bookmarkStart w:id="12" w:name="__RefHeading___Toc3066_1138715457"/>
      <w:r>
        <w:t>Irreversible models</w:t>
      </w:r>
      <w:bookmarkEnd w:id="12"/>
    </w:p>
    <w:p w14:paraId="26CD89C1" w14:textId="77777777" w:rsidR="0087698B" w:rsidRDefault="004F6B6F">
      <w:pPr>
        <w:pStyle w:val="Rubrik2"/>
        <w:rPr>
          <w:rFonts w:hint="eastAsia"/>
        </w:rPr>
      </w:pPr>
      <w:bookmarkStart w:id="13" w:name="__RefHeading___Toc735_731585586"/>
      <w:r>
        <w:t>Patlak Model</w:t>
      </w:r>
      <w:bookmarkEnd w:id="13"/>
    </w:p>
    <w:p w14:paraId="417A2DF6" w14:textId="07421FB8" w:rsidR="00BA1DE8" w:rsidRDefault="004F6B6F">
      <w:pPr>
        <w:pStyle w:val="Standard"/>
        <w:numPr>
          <w:ilvl w:val="0"/>
          <w:numId w:val="1"/>
        </w:numPr>
        <w:tabs>
          <w:tab w:val="left" w:pos="1531"/>
        </w:tabs>
      </w:pPr>
      <w:r>
        <w:t xml:space="preserve">builds on the notion that after a while the blood plasma activity changes slowly, and the reversible compartments have reached a steady-state equilibrium with plasma (reversible compartments activity will be proportional to the plasma activity). This way the blood and the irreversible compartments can be viewed as an input function, with a single irreversible compartment constantly accumulating activity. The Patlak model calculates: </w:t>
      </w:r>
      <w:r>
        <w:br/>
        <w:t xml:space="preserve">- </w:t>
      </w:r>
      <w:r>
        <w:rPr>
          <w:i/>
          <w:iCs/>
        </w:rPr>
        <w:t>K</w:t>
      </w:r>
      <w:r>
        <w:rPr>
          <w:i/>
          <w:iCs/>
          <w:vertAlign w:val="subscript"/>
        </w:rPr>
        <w:t xml:space="preserve">i </w:t>
      </w:r>
      <w:r>
        <w:t>the net transfer rate (or influx constant) to bound state</w:t>
      </w:r>
      <w:r>
        <w:br/>
      </w:r>
      <w:r>
        <w:br/>
        <w:t>Input parameter:</w:t>
      </w:r>
      <w:r>
        <w:br/>
        <w:t xml:space="preserve">- Variable name, containing the time-activity curve of the intact tracer molecule sampled from blood plasma.  </w:t>
      </w:r>
      <w:r>
        <w:br/>
      </w:r>
      <w:r>
        <w:br/>
        <w:t xml:space="preserve">Note 1:  The time-points for the plasma time-activity curve should be the same as the time frames in the PET data.  </w:t>
      </w:r>
      <w:r>
        <w:br/>
        <w:t xml:space="preserve">Note 2:  The plasma time-activity curve should be of intact tracer molecules. This means that if the tracer is metabolized, </w:t>
      </w:r>
      <w:r>
        <w:br/>
      </w:r>
      <w:r>
        <w:tab/>
        <w:t>and one of the metabolites are radioactive, advanced metabolite measurements and corrections have to be performed.</w:t>
      </w:r>
    </w:p>
    <w:p w14:paraId="362A6E55" w14:textId="0C44ABA9" w:rsidR="0087698B" w:rsidRDefault="004F6B6F" w:rsidP="00BA1DE8">
      <w:pPr>
        <w:pStyle w:val="Standard"/>
        <w:tabs>
          <w:tab w:val="left" w:pos="1531"/>
        </w:tabs>
        <w:ind w:left="360"/>
      </w:pPr>
      <w:r>
        <w:br/>
        <w:t xml:space="preserve">See </w:t>
      </w:r>
      <w:hyperlink r:id="rId14" w:history="1">
        <w:r w:rsidRPr="00DE2866">
          <w:rPr>
            <w:rStyle w:val="Internetlink"/>
          </w:rPr>
          <w:t>https://doi.org/10.1038%2Fjcbfm.1985.87</w:t>
        </w:r>
      </w:hyperlink>
      <w:r w:rsidRPr="00DE2866">
        <w:rPr>
          <w:rStyle w:val="Internetlink"/>
        </w:rPr>
        <w:t xml:space="preserve">, </w:t>
      </w:r>
      <w:hyperlink r:id="rId15" w:history="1">
        <w:r w:rsidRPr="00DE2866">
          <w:rPr>
            <w:rStyle w:val="Internetlink"/>
          </w:rPr>
          <w:t>http://www.turkupetcentre.net/petanalysis/model_patlak_interpretation.html</w:t>
        </w:r>
      </w:hyperlink>
      <w:r>
        <w:t xml:space="preserve"> </w:t>
      </w:r>
      <w:r>
        <w:br/>
      </w:r>
    </w:p>
    <w:p w14:paraId="14D775B8" w14:textId="77777777" w:rsidR="0087698B" w:rsidRDefault="004F6B6F">
      <w:pPr>
        <w:pStyle w:val="Rubrik2"/>
        <w:rPr>
          <w:rFonts w:hint="eastAsia"/>
        </w:rPr>
      </w:pPr>
      <w:bookmarkStart w:id="14" w:name="__RefHeading___Toc737_731585586"/>
      <w:r>
        <w:t>Reference Patlak Model</w:t>
      </w:r>
      <w:bookmarkEnd w:id="14"/>
    </w:p>
    <w:p w14:paraId="55258AC6" w14:textId="1C49B93B" w:rsidR="00BA1DE8" w:rsidRDefault="004F6B6F" w:rsidP="00BA1DE8">
      <w:pPr>
        <w:pStyle w:val="Standard"/>
        <w:numPr>
          <w:ilvl w:val="0"/>
          <w:numId w:val="1"/>
        </w:numPr>
      </w:pPr>
      <w:r>
        <w:t xml:space="preserve">uses the same principle as Patlak model </w:t>
      </w:r>
      <w:r w:rsidR="00423505">
        <w:t>above but</w:t>
      </w:r>
      <w:r>
        <w:t xml:space="preserve"> requires a reference tissue that does not display irreversible trapping.  The most common tracer, FDG does not fulfil this requirement.</w:t>
      </w:r>
      <w:r>
        <w:br/>
        <w:t xml:space="preserve">The Reference Patlak model calculates: </w:t>
      </w:r>
      <w:r>
        <w:br/>
        <w:t xml:space="preserve">- </w:t>
      </w:r>
      <w:r>
        <w:rPr>
          <w:i/>
          <w:iCs/>
        </w:rPr>
        <w:t>K</w:t>
      </w:r>
      <w:r>
        <w:rPr>
          <w:i/>
          <w:iCs/>
          <w:vertAlign w:val="subscript"/>
        </w:rPr>
        <w:t xml:space="preserve">i </w:t>
      </w:r>
      <w:r>
        <w:t>the net transfer rate (or influx constant)</w:t>
      </w:r>
      <w:r w:rsidR="00BA1DE8">
        <w:br/>
      </w:r>
      <w:r w:rsidR="00BA1DE8">
        <w:br/>
      </w:r>
      <w:r>
        <w:t>Input parameters are:</w:t>
      </w:r>
      <w:r>
        <w:br/>
        <w:t>- start frame (see Multiple Time Graphical Analysis above, on how to determine start frame)</w:t>
      </w:r>
      <w:r>
        <w:br/>
        <w:t>- end frame</w:t>
      </w:r>
      <w:r>
        <w:br/>
        <w:t xml:space="preserve">- </w:t>
      </w:r>
      <w:r w:rsidRPr="00BA1DE8">
        <w:rPr>
          <w:i/>
          <w:iCs/>
        </w:rPr>
        <w:t>l</w:t>
      </w:r>
      <w:r w:rsidRPr="00BA1DE8">
        <w:rPr>
          <w:i/>
          <w:iCs/>
          <w:vertAlign w:val="subscript"/>
        </w:rPr>
        <w:t>3</w:t>
      </w:r>
      <w:r>
        <w:t xml:space="preserve"> special case: rate constant for specific binding in reference region (zero for most cases). </w:t>
      </w:r>
      <w:r>
        <w:br/>
      </w:r>
      <w:r w:rsidRPr="006F2786">
        <w:t xml:space="preserve">  (see </w:t>
      </w:r>
      <w:hyperlink r:id="rId16" w:history="1">
        <w:r w:rsidRPr="00920EC4">
          <w:rPr>
            <w:rStyle w:val="Internetlink"/>
          </w:rPr>
          <w:t>https://doi.org/doi:10.1016/j.jns.2007.01.057</w:t>
        </w:r>
      </w:hyperlink>
      <w:r w:rsidRPr="006F2786">
        <w:t>)</w:t>
      </w:r>
      <w:r>
        <w:br/>
      </w:r>
    </w:p>
    <w:p w14:paraId="2CCCE4E9" w14:textId="5353C41B" w:rsidR="0087698B" w:rsidRDefault="004F6B6F" w:rsidP="00BA1DE8">
      <w:pPr>
        <w:pStyle w:val="Standard"/>
        <w:ind w:left="360"/>
      </w:pPr>
      <w:r>
        <w:t xml:space="preserve">See </w:t>
      </w:r>
      <w:r w:rsidRPr="00BA1DE8">
        <w:rPr>
          <w:color w:val="000080"/>
          <w:u w:val="single"/>
        </w:rPr>
        <w:t xml:space="preserve"> </w:t>
      </w:r>
      <w:r w:rsidR="00BA1DE8">
        <w:rPr>
          <w:color w:val="000080"/>
          <w:u w:val="single"/>
        </w:rPr>
        <w:t>:</w:t>
      </w:r>
      <w:r w:rsidR="00423505" w:rsidRPr="00BA1DE8">
        <w:rPr>
          <w:color w:val="000080"/>
          <w:u w:val="single"/>
        </w:rPr>
        <w:br/>
      </w:r>
      <w:hyperlink r:id="rId17" w:history="1">
        <w:r w:rsidR="00423505" w:rsidRPr="00DE2866">
          <w:rPr>
            <w:rStyle w:val="Internetlink"/>
          </w:rPr>
          <w:t>https://doi.org/10.1038%2Fjcbfm.1985.87</w:t>
        </w:r>
      </w:hyperlink>
      <w:r w:rsidR="00423505" w:rsidRPr="00DE2866">
        <w:rPr>
          <w:rStyle w:val="Internetlink"/>
        </w:rPr>
        <w:t xml:space="preserve"> (Patlak)</w:t>
      </w:r>
      <w:r w:rsidRPr="00DE2866">
        <w:rPr>
          <w:rStyle w:val="Internetlink"/>
        </w:rPr>
        <w:t xml:space="preserve">,  </w:t>
      </w:r>
      <w:r w:rsidRPr="00DE2866">
        <w:rPr>
          <w:rStyle w:val="Internetlink"/>
        </w:rPr>
        <w:br/>
      </w:r>
      <w:hyperlink r:id="rId18" w:history="1">
        <w:r w:rsidRPr="00DE2866">
          <w:rPr>
            <w:rStyle w:val="Internetlink"/>
          </w:rPr>
          <w:t>https://doi.org/doi:10.1016/j.jns.2007.01.057</w:t>
        </w:r>
      </w:hyperlink>
      <w:r w:rsidRPr="006F2786">
        <w:t xml:space="preserve"> (for  </w:t>
      </w:r>
      <w:r w:rsidRPr="00BA1DE8">
        <w:rPr>
          <w:i/>
          <w:iCs/>
        </w:rPr>
        <w:t>l</w:t>
      </w:r>
      <w:r w:rsidRPr="00BA1DE8">
        <w:rPr>
          <w:i/>
          <w:iCs/>
          <w:vertAlign w:val="subscript"/>
        </w:rPr>
        <w:t>3</w:t>
      </w:r>
      <w:r w:rsidRPr="006F2786">
        <w:t xml:space="preserve"> special case).</w:t>
      </w:r>
    </w:p>
    <w:p w14:paraId="4B768CF2" w14:textId="77777777" w:rsidR="0087698B" w:rsidRDefault="004F6B6F">
      <w:pPr>
        <w:pStyle w:val="Standard"/>
        <w:rPr>
          <w:color w:val="006ACC"/>
        </w:rPr>
      </w:pPr>
      <w:r>
        <w:rPr>
          <w:color w:val="006ACC"/>
        </w:rPr>
        <w:br/>
      </w:r>
    </w:p>
    <w:p w14:paraId="1E09F2A3" w14:textId="77777777" w:rsidR="0087698B" w:rsidRDefault="004F6B6F">
      <w:pPr>
        <w:pStyle w:val="Rubrik1"/>
        <w:rPr>
          <w:rFonts w:hint="eastAsia"/>
        </w:rPr>
      </w:pPr>
      <w:bookmarkStart w:id="15" w:name="__RefHeading___Toc3068_1138715457"/>
      <w:r>
        <w:t>Perfusion models</w:t>
      </w:r>
      <w:bookmarkEnd w:id="15"/>
    </w:p>
    <w:p w14:paraId="7EAE1F11" w14:textId="77777777" w:rsidR="0087698B" w:rsidRDefault="0087698B">
      <w:pPr>
        <w:pStyle w:val="Standard"/>
        <w:rPr>
          <w:rFonts w:ascii="Arial, sans-serif" w:hAnsi="Arial, sans-serif" w:hint="eastAsia"/>
          <w:b/>
          <w:bCs/>
          <w:i/>
          <w:iCs/>
          <w:sz w:val="28"/>
          <w:szCs w:val="28"/>
        </w:rPr>
      </w:pPr>
    </w:p>
    <w:p w14:paraId="78EAD6CB" w14:textId="77777777" w:rsidR="0087698B" w:rsidRDefault="004F6B6F">
      <w:pPr>
        <w:pStyle w:val="Rubrik2"/>
        <w:rPr>
          <w:rFonts w:hint="eastAsia"/>
        </w:rPr>
      </w:pPr>
      <w:bookmarkStart w:id="16" w:name="__RefHeading___Toc739_731585586"/>
      <w:r>
        <w:t>Water double-integral model</w:t>
      </w:r>
      <w:bookmarkEnd w:id="16"/>
    </w:p>
    <w:p w14:paraId="4C3D2A8E" w14:textId="619670E9" w:rsidR="00BA1DE8" w:rsidRPr="00BA1DE8" w:rsidRDefault="004F6B6F">
      <w:pPr>
        <w:pStyle w:val="Standard"/>
        <w:numPr>
          <w:ilvl w:val="0"/>
          <w:numId w:val="1"/>
        </w:numPr>
        <w:tabs>
          <w:tab w:val="left" w:pos="1531"/>
        </w:tabs>
        <w:rPr>
          <w:b/>
          <w:bCs/>
        </w:rPr>
      </w:pPr>
      <w:r>
        <w:t xml:space="preserve">not an absolute tissue-perfusion </w:t>
      </w:r>
      <w:r w:rsidR="00423505">
        <w:t>model but</w:t>
      </w:r>
      <w:r>
        <w:t xml:space="preserve"> calculates values relative the whole brain (which should be the reference</w:t>
      </w:r>
      <w:r w:rsidR="00423505">
        <w:t>-region).</w:t>
      </w:r>
      <w:r>
        <w:t xml:space="preserve"> This model calculates:</w:t>
      </w:r>
      <w:r>
        <w:br/>
        <w:t>- Perfusion</w:t>
      </w:r>
      <w:r>
        <w:br/>
      </w:r>
      <w:r>
        <w:br/>
        <w:t>No input parameters asked for.</w:t>
      </w:r>
      <w:r>
        <w:br/>
      </w:r>
    </w:p>
    <w:p w14:paraId="643F2141" w14:textId="411B37EC" w:rsidR="0087698B" w:rsidRDefault="004F6B6F" w:rsidP="00BA1DE8">
      <w:pPr>
        <w:pStyle w:val="Standard"/>
        <w:tabs>
          <w:tab w:val="left" w:pos="1531"/>
        </w:tabs>
        <w:ind w:left="360"/>
        <w:rPr>
          <w:b/>
          <w:bCs/>
        </w:rPr>
      </w:pPr>
      <w:r>
        <w:t xml:space="preserve">See </w:t>
      </w:r>
      <w:hyperlink r:id="rId19" w:history="1">
        <w:r w:rsidRPr="00DE2866">
          <w:rPr>
            <w:rStyle w:val="Internetlink"/>
          </w:rPr>
          <w:t>https://doi.org/10.1177/0271678X17730654</w:t>
        </w:r>
      </w:hyperlink>
      <w:r>
        <w:br/>
      </w:r>
    </w:p>
    <w:p w14:paraId="64EBB006" w14:textId="77777777" w:rsidR="0087698B" w:rsidRDefault="0087698B">
      <w:pPr>
        <w:pStyle w:val="Standard"/>
        <w:rPr>
          <w:rFonts w:ascii="Arial, sans-serif" w:hAnsi="Arial, sans-serif" w:hint="eastAsia"/>
          <w:b/>
          <w:bCs/>
          <w:i/>
          <w:iCs/>
          <w:sz w:val="28"/>
          <w:szCs w:val="28"/>
        </w:rPr>
      </w:pPr>
    </w:p>
    <w:p w14:paraId="40CCC839" w14:textId="77777777" w:rsidR="0087698B" w:rsidRDefault="004F6B6F">
      <w:pPr>
        <w:pStyle w:val="Rubrik2"/>
        <w:rPr>
          <w:rFonts w:hint="eastAsia"/>
        </w:rPr>
      </w:pPr>
      <w:bookmarkStart w:id="17" w:name="__RefHeading___Toc739_7315855861"/>
      <w:r>
        <w:t>Water Perfusion with input function</w:t>
      </w:r>
      <w:bookmarkEnd w:id="17"/>
    </w:p>
    <w:p w14:paraId="0B29F7B8" w14:textId="77777777" w:rsidR="0087698B" w:rsidRDefault="004F6B6F">
      <w:pPr>
        <w:pStyle w:val="Standard"/>
        <w:numPr>
          <w:ilvl w:val="0"/>
          <w:numId w:val="2"/>
        </w:numPr>
        <w:tabs>
          <w:tab w:val="left" w:pos="1531"/>
        </w:tabs>
      </w:pPr>
      <w:r>
        <w:t>This is an absolute tissue-perfusion model, which requires an input function.  This model calculates:</w:t>
      </w:r>
      <w:r>
        <w:br/>
        <w:t>- Perfusion</w:t>
      </w:r>
      <w:r>
        <w:br/>
      </w:r>
      <w:r>
        <w:br/>
        <w:t>Input parameter:</w:t>
      </w:r>
      <w:r>
        <w:br/>
        <w:t>- Variable name, containing the arterial time-activity curve. This curve should be sampled with same time frames as PET.</w:t>
      </w:r>
    </w:p>
    <w:p w14:paraId="64110C7B" w14:textId="77777777" w:rsidR="0087698B" w:rsidRDefault="004F6B6F">
      <w:pPr>
        <w:pStyle w:val="Standard"/>
        <w:tabs>
          <w:tab w:val="left" w:pos="1531"/>
        </w:tabs>
      </w:pPr>
      <w:r>
        <w:br/>
        <w:t>NOTE: As is, this model finds the delay between input function and tissue curves. It does not perform any dispersion calculation.</w:t>
      </w:r>
      <w:r>
        <w:br/>
      </w:r>
      <w:r>
        <w:br/>
      </w:r>
    </w:p>
    <w:sectPr w:rsidR="0087698B">
      <w:pgSz w:w="11906" w:h="16838"/>
      <w:pgMar w:top="1138" w:right="1138" w:bottom="1138" w:left="113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A4D34" w14:textId="77777777" w:rsidR="00B8109E" w:rsidRDefault="00B8109E">
      <w:r>
        <w:separator/>
      </w:r>
    </w:p>
  </w:endnote>
  <w:endnote w:type="continuationSeparator" w:id="0">
    <w:p w14:paraId="0E718768" w14:textId="77777777" w:rsidR="00B8109E" w:rsidRDefault="00B81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panose1 w:val="020B0604020202020204"/>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Arial, sans-serif">
    <w:altName w:val="Arial"/>
    <w:panose1 w:val="020B0604020202020204"/>
    <w:charset w:val="00"/>
    <w:family w:val="auto"/>
    <w:pitch w:val="default"/>
  </w:font>
  <w:font w:name="Albany">
    <w:altName w:val="Arial"/>
    <w:panose1 w:val="020B0604020202020204"/>
    <w:charset w:val="00"/>
    <w:family w:val="swiss"/>
    <w:pitch w:val="variable"/>
  </w:font>
  <w:font w:name="HG Mincho Light J">
    <w:panose1 w:val="020B0604020202020204"/>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ourier">
    <w:panose1 w:val="02000500000000000000"/>
    <w:charset w:val="00"/>
    <w:family w:val="auto"/>
    <w:pitch w:val="variable"/>
    <w:sig w:usb0="00000003" w:usb1="00000000" w:usb2="00000000" w:usb3="00000000" w:csb0="00000003"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548F5" w14:textId="77777777" w:rsidR="00B8109E" w:rsidRDefault="00B8109E">
      <w:r>
        <w:rPr>
          <w:color w:val="000000"/>
        </w:rPr>
        <w:ptab w:relativeTo="margin" w:alignment="center" w:leader="none"/>
      </w:r>
    </w:p>
  </w:footnote>
  <w:footnote w:type="continuationSeparator" w:id="0">
    <w:p w14:paraId="38BA37BC" w14:textId="77777777" w:rsidR="00B8109E" w:rsidRDefault="00B810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12A47"/>
    <w:multiLevelType w:val="multilevel"/>
    <w:tmpl w:val="3E6E95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676734E2"/>
    <w:multiLevelType w:val="multilevel"/>
    <w:tmpl w:val="E81E85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98B"/>
    <w:rsid w:val="00423505"/>
    <w:rsid w:val="004508B2"/>
    <w:rsid w:val="004F6B6F"/>
    <w:rsid w:val="006F2786"/>
    <w:rsid w:val="0087698B"/>
    <w:rsid w:val="008F2784"/>
    <w:rsid w:val="00920EC4"/>
    <w:rsid w:val="00AC72D9"/>
    <w:rsid w:val="00B8109E"/>
    <w:rsid w:val="00BA1DE8"/>
    <w:rsid w:val="00BE5E2A"/>
    <w:rsid w:val="00C93A10"/>
    <w:rsid w:val="00CE2A3F"/>
    <w:rsid w:val="00DE2866"/>
    <w:rsid w:val="00F2774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6D088387"/>
  <w15:docId w15:val="{1E3CDFF8-B480-9345-9277-582778D96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Heading"/>
    <w:next w:val="Textbody"/>
    <w:uiPriority w:val="9"/>
    <w:qFormat/>
    <w:pPr>
      <w:spacing w:after="115"/>
      <w:outlineLvl w:val="0"/>
    </w:pPr>
    <w:rPr>
      <w:rFonts w:ascii="Arial, sans-serif" w:eastAsia="SimSun" w:hAnsi="Arial, sans-serif" w:cs="Mangal"/>
      <w:b/>
      <w:bCs/>
      <w:sz w:val="32"/>
      <w:szCs w:val="32"/>
    </w:rPr>
  </w:style>
  <w:style w:type="paragraph" w:styleId="Rubrik2">
    <w:name w:val="heading 2"/>
    <w:basedOn w:val="Heading"/>
    <w:next w:val="Textbody"/>
    <w:uiPriority w:val="9"/>
    <w:unhideWhenUsed/>
    <w:qFormat/>
    <w:pPr>
      <w:spacing w:after="115"/>
      <w:outlineLvl w:val="1"/>
    </w:pPr>
    <w:rPr>
      <w:rFonts w:ascii="Arial, sans-serif" w:eastAsia="SimSun" w:hAnsi="Arial, sans-serif" w:cs="Mangal"/>
      <w:b/>
      <w:bCs/>
      <w:i/>
      <w:iCs/>
    </w:rPr>
  </w:style>
  <w:style w:type="paragraph" w:styleId="Rubrik3">
    <w:name w:val="heading 3"/>
    <w:basedOn w:val="Heading"/>
    <w:next w:val="Textbody"/>
    <w:uiPriority w:val="9"/>
    <w:semiHidden/>
    <w:unhideWhenUsed/>
    <w:qFormat/>
    <w:pPr>
      <w:spacing w:after="115"/>
      <w:outlineLvl w:val="2"/>
    </w:pPr>
    <w:rPr>
      <w:rFonts w:ascii="Arial, sans-serif" w:eastAsia="SimSun" w:hAnsi="Arial, sans-serif" w:cs="Mangal"/>
      <w:b/>
      <w:bC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283"/>
    </w:pPr>
    <w:rPr>
      <w:rFonts w:ascii="Albany" w:eastAsia="HG Mincho Light J" w:hAnsi="Albany" w:cs="Arial Unicode MS"/>
      <w:sz w:val="28"/>
      <w:szCs w:val="28"/>
    </w:rPr>
  </w:style>
  <w:style w:type="paragraph" w:customStyle="1" w:styleId="Textbody">
    <w:name w:val="Text body"/>
    <w:basedOn w:val="Standard"/>
    <w:pPr>
      <w:spacing w:after="115"/>
    </w:pPr>
  </w:style>
  <w:style w:type="paragraph" w:styleId="Lista">
    <w:name w:val="List"/>
    <w:basedOn w:val="Textbody"/>
  </w:style>
  <w:style w:type="paragraph" w:styleId="Beskrivning">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pacing w:after="283"/>
    </w:pPr>
    <w:rPr>
      <w:sz w:val="12"/>
    </w:rPr>
  </w:style>
  <w:style w:type="paragraph" w:customStyle="1" w:styleId="Sender">
    <w:name w:val="Sender"/>
    <w:basedOn w:val="Standard"/>
    <w:rPr>
      <w:i/>
    </w:rPr>
  </w:style>
  <w:style w:type="paragraph" w:customStyle="1" w:styleId="TableContents">
    <w:name w:val="Table Contents"/>
    <w:basedOn w:val="Textbody"/>
  </w:style>
  <w:style w:type="paragraph" w:styleId="Sidfot">
    <w:name w:val="footer"/>
    <w:basedOn w:val="Standard"/>
    <w:pPr>
      <w:suppressLineNumbers/>
      <w:tabs>
        <w:tab w:val="center" w:pos="4818"/>
        <w:tab w:val="right" w:pos="9637"/>
      </w:tabs>
    </w:pPr>
  </w:style>
  <w:style w:type="paragraph" w:styleId="Sidhuvud">
    <w:name w:val="header"/>
    <w:basedOn w:val="Standard"/>
    <w:pPr>
      <w:suppressLineNumbers/>
      <w:tabs>
        <w:tab w:val="center" w:pos="4818"/>
        <w:tab w:val="right" w:pos="9637"/>
      </w:tabs>
    </w:pPr>
  </w:style>
  <w:style w:type="paragraph" w:customStyle="1" w:styleId="ListContents">
    <w:name w:val="List Contents"/>
    <w:basedOn w:val="Standard"/>
    <w:pPr>
      <w:ind w:left="567"/>
    </w:pPr>
  </w:style>
  <w:style w:type="paragraph" w:customStyle="1" w:styleId="ContentsHeading">
    <w:name w:val="Contents Heading"/>
    <w:basedOn w:val="Heading"/>
    <w:pPr>
      <w:suppressLineNumbers/>
    </w:pPr>
    <w:rPr>
      <w:b/>
      <w:bCs/>
      <w:sz w:val="32"/>
      <w:szCs w:val="32"/>
    </w:rPr>
  </w:style>
  <w:style w:type="paragraph" w:customStyle="1" w:styleId="Contents2">
    <w:name w:val="Contents 2"/>
    <w:basedOn w:val="Index"/>
    <w:pPr>
      <w:tabs>
        <w:tab w:val="right" w:leader="dot" w:pos="9638"/>
      </w:tabs>
      <w:ind w:left="283"/>
    </w:pPr>
  </w:style>
  <w:style w:type="paragraph" w:styleId="Rubrik">
    <w:name w:val="Title"/>
    <w:basedOn w:val="Heading"/>
    <w:next w:val="Textbody"/>
    <w:uiPriority w:val="10"/>
    <w:qFormat/>
    <w:pPr>
      <w:jc w:val="center"/>
    </w:pPr>
    <w:rPr>
      <w:b/>
      <w:bCs/>
      <w:sz w:val="56"/>
      <w:szCs w:val="56"/>
    </w:r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character" w:customStyle="1" w:styleId="EndnoteSymbol">
    <w:name w:val="Endnote Symbol"/>
  </w:style>
  <w:style w:type="character" w:customStyle="1" w:styleId="FootnoteSymbol">
    <w:name w:val="Footnote Symbol"/>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VisitedInternetLink">
    <w:name w:val="Visited Internet Link"/>
    <w:rPr>
      <w:color w:val="800000"/>
      <w:u w:val="single"/>
    </w:rPr>
  </w:style>
  <w:style w:type="character" w:customStyle="1" w:styleId="IndexLink">
    <w:name w:val="Index Link"/>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styleId="Hyperlnk">
    <w:name w:val="Hyperlink"/>
    <w:basedOn w:val="Standardstycketeckensnitt"/>
    <w:uiPriority w:val="99"/>
    <w:unhideWhenUsed/>
    <w:rsid w:val="00423505"/>
    <w:rPr>
      <w:color w:val="0563C1" w:themeColor="hyperlink"/>
      <w:u w:val="single"/>
    </w:rPr>
  </w:style>
  <w:style w:type="character" w:styleId="Olstomnmnande">
    <w:name w:val="Unresolved Mention"/>
    <w:basedOn w:val="Standardstycketeckensnitt"/>
    <w:uiPriority w:val="99"/>
    <w:semiHidden/>
    <w:unhideWhenUsed/>
    <w:rsid w:val="00423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16/j.neuroimage.2006.06.038" TargetMode="External"/><Relationship Id="rId18" Type="http://schemas.openxmlformats.org/officeDocument/2006/relationships/hyperlink" Target="https://doi.org/doi:10.1016/j.jns.2007.01.05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i.org/10.1097/01.WCB.0000033967.83623.34" TargetMode="External"/><Relationship Id="rId17" Type="http://schemas.openxmlformats.org/officeDocument/2006/relationships/hyperlink" Target="https://doi.org/10.1038%2Fjcbfm.1985.87" TargetMode="External"/><Relationship Id="rId2" Type="http://schemas.openxmlformats.org/officeDocument/2006/relationships/styles" Target="styles.xml"/><Relationship Id="rId16" Type="http://schemas.openxmlformats.org/officeDocument/2006/relationships/hyperlink" Target="https://doi.org/doi:10.1016/j.jns.2007.01.05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6/nimg.1996.0066" TargetMode="External"/><Relationship Id="rId5" Type="http://schemas.openxmlformats.org/officeDocument/2006/relationships/footnotes" Target="footnotes.xml"/><Relationship Id="rId15" Type="http://schemas.openxmlformats.org/officeDocument/2006/relationships/hyperlink" Target="http://www.turkupetcentre.net/petanalysis/model_patlak_interpretation.html" TargetMode="External"/><Relationship Id="rId10" Type="http://schemas.openxmlformats.org/officeDocument/2006/relationships/hyperlink" Target="https://doi.org/10.1016/j.neuroimage.2008.09.021" TargetMode="External"/><Relationship Id="rId19" Type="http://schemas.openxmlformats.org/officeDocument/2006/relationships/hyperlink" Target="https://doi.org/10.1177/0271678X17730654" TargetMode="External"/><Relationship Id="rId4" Type="http://schemas.openxmlformats.org/officeDocument/2006/relationships/webSettings" Target="webSettings.xml"/><Relationship Id="rId9" Type="http://schemas.openxmlformats.org/officeDocument/2006/relationships/hyperlink" Target="https://doi.org/10.1016/S0969-8051(00)00137-2" TargetMode="External"/><Relationship Id="rId14" Type="http://schemas.openxmlformats.org/officeDocument/2006/relationships/hyperlink" Target="https://doi.org/10.1038%2Fjcbfm.1985.87"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1976</Words>
  <Characters>10476</Characters>
  <Application>Microsoft Office Word</Application>
  <DocSecurity>0</DocSecurity>
  <Lines>87</Lines>
  <Paragraphs>24</Paragraphs>
  <ScaleCrop>false</ScaleCrop>
  <Company/>
  <LinksUpToDate>false</LinksUpToDate>
  <CharactersWithSpaces>12428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Axelsson</dc:creator>
  <cp:lastModifiedBy>Jan Axelsson</cp:lastModifiedBy>
  <cp:revision>6</cp:revision>
  <dcterms:created xsi:type="dcterms:W3CDTF">2021-01-21T21:40:00Z</dcterms:created>
  <dcterms:modified xsi:type="dcterms:W3CDTF">2021-08-16T10:08:00Z</dcterms:modified>
</cp:coreProperties>
</file>