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80"/>
        <w:jc w:val="left"/>
      </w:pPr>
      <w:r>
        <w:rPr>
          <w:rFonts w:ascii="Arial" w:cs="Arial" w:eastAsia="Arial" w:hAnsi="Arial"/>
          <w:b/>
          <w:bCs/>
          <w:i w:val="false"/>
          <w:iCs w:val="false"/>
          <w:color w:val="1A1814"/>
          <w:sz w:val="48"/>
          <w:szCs w:val="48"/>
        </w:rPr>
        <w:t xml:space="preserve">MÉTODO DE PROPIEDAD</w:t>
      </w:r>
    </w:p>
    <w:p>
      <w:pPr>
        <w:spacing w:before="0" w:after="60"/>
        <w:jc w:val="left"/>
      </w:pPr>
      <w:r>
        <w:rPr>
          <w:rFonts w:ascii="Arial" w:cs="Arial" w:eastAsia="Arial" w:hAnsi="Arial"/>
          <w:b w:val="false"/>
          <w:bCs w:val="false"/>
          <w:i/>
          <w:iCs/>
          <w:color w:val="555555"/>
          <w:sz w:val="24"/>
          <w:szCs w:val="24"/>
        </w:rPr>
        <w:t xml:space="preserve">Marco de análisis para tesis de inversión estructural</w:t>
      </w:r>
    </w:p>
    <w:p>
      <w:pPr>
        <w:spacing w:before="0" w:after="80"/>
        <w:jc w:val="left"/>
      </w:pPr>
      <w:r>
        <w:rPr>
          <w:rFonts w:ascii="Arial" w:cs="Arial" w:eastAsia="Arial" w:hAnsi="Arial"/>
          <w:b w:val="false"/>
          <w:bCs w:val="false"/>
          <w:i w:val="false"/>
          <w:iCs w:val="false"/>
          <w:color w:val="AAAAAA"/>
          <w:sz w:val="18"/>
          <w:szCs w:val="18"/>
        </w:rPr>
        <w:t xml:space="preserve">Versión 1.0  ·  Documento de referencia para agente IA</w:t>
      </w:r>
    </w:p>
    <w:p>
      <w:pPr>
        <w:pBdr>
          <w:bottom w:val="double" w:color="1A1814" w:sz="6" w:space="1"/>
        </w:pBdr>
        <w:spacing w:before="0" w:after="400"/>
      </w:pPr>
      <w:r>
        <w:rPr>
          <w:rFonts w:ascii="Arial" w:cs="Arial" w:eastAsia="Arial" w:hAnsi="Arial"/>
        </w:rPr>
        <w:t xml:space="preserve"/>
      </w:r>
    </w:p>
    <w:p>
      <w:pPr>
        <w:pStyle w:val="Heading1"/>
        <w:pBdr>
          <w:bottom w:val="single" w:color="B5440E" w:sz="6" w:space="6"/>
        </w:pBdr>
        <w:spacing w:before="400" w:after="200"/>
      </w:pPr>
      <w:r>
        <w:rPr>
          <w:rFonts w:ascii="Arial" w:cs="Arial" w:eastAsia="Arial" w:hAnsi="Arial"/>
          <w:b/>
          <w:bCs/>
          <w:color w:val="1A1814"/>
          <w:sz w:val="36"/>
          <w:szCs w:val="36"/>
        </w:rPr>
        <w:t xml:space="preserve">Propósito del documento</w:t>
      </w:r>
    </w:p>
    <w:p>
      <w:pPr>
        <w:spacing w:before="0" w:after="160"/>
        <w:jc w:val="left"/>
      </w:pPr>
      <w:r>
        <w:rPr>
          <w:rFonts w:ascii="Arial" w:cs="Arial" w:eastAsia="Arial" w:hAnsi="Arial"/>
          <w:b w:val="false"/>
          <w:bCs w:val="false"/>
          <w:i w:val="false"/>
          <w:iCs w:val="false"/>
          <w:color w:val="1A1814"/>
          <w:sz w:val="22"/>
          <w:szCs w:val="22"/>
        </w:rPr>
        <w:t xml:space="preserve">Este documento define el </w:t>
      </w:r>
      <w:r>
        <w:rPr>
          <w:rFonts w:ascii="Arial" w:cs="Arial" w:eastAsia="Arial" w:hAnsi="Arial"/>
          <w:b/>
          <w:bCs/>
          <w:i w:val="false"/>
          <w:iCs w:val="false"/>
          <w:color w:val="1A1814"/>
          <w:sz w:val="22"/>
          <w:szCs w:val="22"/>
        </w:rPr>
        <w:t xml:space="preserve">Método de Propiedad</w:t>
      </w:r>
      <w:r>
        <w:rPr>
          <w:rFonts w:ascii="Arial" w:cs="Arial" w:eastAsia="Arial" w:hAnsi="Arial"/>
          <w:b w:val="false"/>
          <w:bCs w:val="false"/>
          <w:i w:val="false"/>
          <w:iCs w:val="false"/>
          <w:color w:val="1A1814"/>
          <w:sz w:val="22"/>
          <w:szCs w:val="22"/>
        </w:rPr>
        <w:t xml:space="preserve">: un marco estructurado para que un agente IA analice tesis de inversión de largo plazo desde la perspectiva del propietario de un negocio, no del operador de un precio.</w:t>
      </w:r>
    </w:p>
    <w:p>
      <w:pPr>
        <w:spacing w:before="0" w:after="100"/>
        <w:jc w:val="left"/>
      </w:pPr>
      <w:r>
        <w:rPr>
          <w:rFonts w:ascii="Arial" w:cs="Arial" w:eastAsia="Arial" w:hAnsi="Arial"/>
          <w:b w:val="false"/>
          <w:bCs w:val="false"/>
          <w:i w:val="false"/>
          <w:iCs w:val="false"/>
          <w:color w:val="1A1814"/>
          <w:sz w:val="22"/>
          <w:szCs w:val="22"/>
        </w:rPr>
        <w:t xml:space="preserve">El método resuelve dos problemas distintos:</w:t>
      </w:r>
    </w:p>
    <w:p>
      <w:pPr>
        <w:pStyle w:val="ListParagraph"/>
        <w:numPr>
          <w:ilvl w:val="0"/>
          <w:numId w:val="2"/>
        </w:numPr>
        <w:spacing w:before="60" w:after="60"/>
      </w:pPr>
      <w:r>
        <w:rPr>
          <w:rFonts w:ascii="Arial" w:cs="Arial" w:eastAsia="Arial" w:hAnsi="Arial"/>
          <w:b w:val="false"/>
          <w:bCs w:val="false"/>
          <w:i w:val="false"/>
          <w:iCs w:val="false"/>
          <w:color w:val="1A1814"/>
          <w:sz w:val="22"/>
          <w:szCs w:val="22"/>
        </w:rPr>
        <w:t xml:space="preserve">Construir el </w:t>
      </w:r>
      <w:r>
        <w:rPr>
          <w:rFonts w:ascii="Arial" w:cs="Arial" w:eastAsia="Arial" w:hAnsi="Arial"/>
          <w:b/>
          <w:bCs/>
          <w:i w:val="false"/>
          <w:iCs w:val="false"/>
          <w:color w:val="1A1814"/>
          <w:sz w:val="22"/>
          <w:szCs w:val="22"/>
        </w:rPr>
        <w:t xml:space="preserve">razonamiento contrarian</w:t>
      </w:r>
      <w:r>
        <w:rPr>
          <w:rFonts w:ascii="Arial" w:cs="Arial" w:eastAsia="Arial" w:hAnsi="Arial"/>
          <w:b w:val="false"/>
          <w:bCs w:val="false"/>
          <w:i w:val="false"/>
          <w:iCs w:val="false"/>
          <w:color w:val="1A1814"/>
          <w:sz w:val="22"/>
          <w:szCs w:val="22"/>
        </w:rPr>
        <w:t xml:space="preserve"> más sólido posible contra la tesis — sin concesiones.</w:t>
      </w:r>
    </w:p>
    <w:p>
      <w:pPr>
        <w:pStyle w:val="ListParagraph"/>
        <w:numPr>
          <w:ilvl w:val="0"/>
          <w:numId w:val="2"/>
        </w:numPr>
        <w:spacing w:before="60" w:after="200"/>
      </w:pPr>
      <w:r>
        <w:rPr>
          <w:rFonts w:ascii="Arial" w:cs="Arial" w:eastAsia="Arial" w:hAnsi="Arial"/>
          <w:b w:val="false"/>
          <w:bCs w:val="false"/>
          <w:i w:val="false"/>
          <w:iCs w:val="false"/>
          <w:color w:val="1A1814"/>
          <w:sz w:val="22"/>
          <w:szCs w:val="22"/>
        </w:rPr>
        <w:t xml:space="preserve">Identificar </w:t>
      </w:r>
      <w:r>
        <w:rPr>
          <w:rFonts w:ascii="Arial" w:cs="Arial" w:eastAsia="Arial" w:hAnsi="Arial"/>
          <w:b/>
          <w:bCs/>
          <w:i w:val="false"/>
          <w:iCs w:val="false"/>
          <w:color w:val="1A1814"/>
          <w:sz w:val="22"/>
          <w:szCs w:val="22"/>
        </w:rPr>
        <w:t xml:space="preserve">fisuras silenciosas</w:t>
      </w:r>
      <w:r>
        <w:rPr>
          <w:rFonts w:ascii="Arial" w:cs="Arial" w:eastAsia="Arial" w:hAnsi="Arial"/>
          <w:b w:val="false"/>
          <w:bCs w:val="false"/>
          <w:i w:val="false"/>
          <w:iCs w:val="false"/>
          <w:color w:val="1A1814"/>
          <w:sz w:val="22"/>
          <w:szCs w:val="22"/>
        </w:rPr>
        <w:t xml:space="preserve"> — deterioro que no aparece en los datos pero que erosiona la tesis antes de que el precio lo refleje.</w:t>
      </w:r>
    </w:p>
    <w:p>
      <w:pPr>
        <w:pBdr>
          <w:left w:val="single" w:color="B5440E" w:sz="12" w:space="12"/>
        </w:pBdr>
        <w:shd w:fill="F2EAE0" w:val="clear"/>
        <w:spacing w:before="200" w:after="200"/>
        <w:ind w:left="480"/>
      </w:pPr>
      <w:r>
        <w:rPr>
          <w:rFonts w:ascii="Arial" w:cs="Arial" w:eastAsia="Arial" w:hAnsi="Arial"/>
          <w:i/>
          <w:iCs/>
          <w:color w:val="2C2C2C"/>
          <w:sz w:val="22"/>
          <w:szCs w:val="22"/>
        </w:rPr>
        <w:t xml:space="preserve">El precio y el negocio pueden estar desconectados durante meses o años. La disciplina del método consiste en saber cuándo escuchar al precio y cuándo ignorarlo.</w:t>
      </w:r>
    </w:p>
    <w:p>
      <w:pPr>
        <w:pBdr>
          <w:bottom w:val="single" w:color="D4C9B8" w:sz="4" w:space="1"/>
        </w:pBdr>
        <w:spacing w:before="200" w:after="200"/>
      </w:pPr>
      <w:r>
        <w:rPr>
          <w:rFonts w:ascii="Arial" w:cs="Arial" w:eastAsia="Arial" w:hAnsi="Arial"/>
        </w:rPr>
        <w:t xml:space="preserve"/>
      </w:r>
    </w:p>
    <w:p>
      <w:pPr>
        <w:pStyle w:val="Heading1"/>
        <w:pBdr>
          <w:bottom w:val="single" w:color="B5440E" w:sz="6" w:space="6"/>
        </w:pBdr>
        <w:spacing w:before="400" w:after="200"/>
      </w:pPr>
      <w:r>
        <w:rPr>
          <w:rFonts w:ascii="Arial" w:cs="Arial" w:eastAsia="Arial" w:hAnsi="Arial"/>
          <w:b/>
          <w:bCs/>
          <w:color w:val="1A1814"/>
          <w:sz w:val="36"/>
          <w:szCs w:val="36"/>
        </w:rPr>
        <w:t xml:space="preserve">Parte I — Fundamento filosófico</w:t>
      </w:r>
    </w:p>
    <w:p>
      <w:pPr>
        <w:pStyle w:val="Heading2"/>
        <w:spacing w:before="320" w:after="140"/>
      </w:pPr>
      <w:r>
        <w:rPr>
          <w:rFonts w:ascii="Arial" w:cs="Arial" w:eastAsia="Arial" w:hAnsi="Arial"/>
          <w:b/>
          <w:bCs/>
          <w:color w:val="2C2C2C"/>
          <w:sz w:val="26"/>
          <w:szCs w:val="26"/>
        </w:rPr>
        <w:t xml:space="preserve">1.1  Qué es la visión de propietario</w:t>
      </w:r>
    </w:p>
    <w:p>
      <w:pPr>
        <w:spacing w:before="0" w:after="160"/>
        <w:jc w:val="left"/>
      </w:pPr>
      <w:r>
        <w:rPr>
          <w:rFonts w:ascii="Arial" w:cs="Arial" w:eastAsia="Arial" w:hAnsi="Arial"/>
          <w:b w:val="false"/>
          <w:bCs w:val="false"/>
          <w:i w:val="false"/>
          <w:iCs w:val="false"/>
          <w:color w:val="1A1814"/>
          <w:sz w:val="22"/>
          <w:szCs w:val="22"/>
        </w:rPr>
        <w:t xml:space="preserve">Un propietario no gestiona posiciones — gestiona negocios. La distinción no es semántica: implica que las condiciones de salida se definen por el estado del negocio, no por el movimiento del precio. Un stop loss basado en precio es incompatible con la visión de propietario porque expulsa en el momento de máxima oportunidad.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D4C9B8" w:sz="1"/>
              <w:left w:val="single" w:color="D4C9B8" w:sz="1"/>
              <w:bottom w:val="single" w:color="D4C9B8" w:sz="1"/>
              <w:right w:val="single" w:color="D4C9B8" w:sz="1"/>
            </w:tcBorders>
            <w:shd w:fill="1A1814"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Gestión por precio</w:t>
            </w:r>
          </w:p>
        </w:tc>
        <w:tc>
          <w:tcPr>
            <w:tcW w:type="dxa" w:w="4680"/>
            <w:gridSpan w:val="1"/>
            <w:tcBorders>
              <w:top w:val="single" w:color="D4C9B8" w:sz="1"/>
              <w:left w:val="single" w:color="D4C9B8" w:sz="1"/>
              <w:bottom w:val="single" w:color="D4C9B8" w:sz="1"/>
              <w:right w:val="single" w:color="D4C9B8" w:sz="1"/>
            </w:tcBorders>
            <w:shd w:fill="1A1814"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Gestión por tesis (Método de Propiedad)</w:t>
            </w:r>
          </w:p>
        </w:tc>
      </w:tr>
      <w:tr>
        <w:tc>
          <w:tcPr>
            <w:tcW w:type="dxa" w:w="468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Stop loss como protección</w:t>
            </w:r>
          </w:p>
        </w:tc>
        <w:tc>
          <w:tcPr>
            <w:tcW w:type="dxa" w:w="468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Condiciones de invalidación predefinidas</w:t>
            </w:r>
          </w:p>
        </w:tc>
      </w:tr>
      <w:tr>
        <w:tc>
          <w:tcPr>
            <w:tcW w:type="dxa" w:w="468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Caída de precio = señal de salida</w:t>
            </w:r>
          </w:p>
        </w:tc>
        <w:tc>
          <w:tcPr>
            <w:tcW w:type="dxa" w:w="468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Caída de precio = oportunidad de ampliación si tesis intacta</w:t>
            </w:r>
          </w:p>
        </w:tc>
      </w:tr>
      <w:tr>
        <w:tc>
          <w:tcPr>
            <w:tcW w:type="dxa" w:w="468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Horizonte: hasta el stop</w:t>
            </w:r>
          </w:p>
        </w:tc>
        <w:tc>
          <w:tcPr>
            <w:tcW w:type="dxa" w:w="468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Horizonte: hasta que la tesis se cumpla o se invalide</w:t>
            </w:r>
          </w:p>
        </w:tc>
      </w:tr>
      <w:tr>
        <w:tc>
          <w:tcPr>
            <w:tcW w:type="dxa" w:w="468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Protege de pérdidas de precio</w:t>
            </w:r>
          </w:p>
        </w:tc>
        <w:tc>
          <w:tcPr>
            <w:tcW w:type="dxa" w:w="468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Protege de permanecer en un negocio deteriorado</w:t>
            </w:r>
          </w:p>
        </w:tc>
      </w:tr>
      <w:tr>
        <w:tc>
          <w:tcPr>
            <w:tcW w:type="dxa" w:w="468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Riesgo: expulsión en mínimos</w:t>
            </w:r>
          </w:p>
        </w:tc>
        <w:tc>
          <w:tcPr>
            <w:tcW w:type="dxa" w:w="468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Riesgo: sesgo de confirmación sin antídoto</w:t>
            </w:r>
          </w:p>
        </w:tc>
      </w:tr>
    </w:tbl>
    <w:p>
      <w:pPr>
        <w:spacing w:before="0" w:after="200"/>
        <w:jc w:val="left"/>
      </w:pPr>
    </w:p>
    <w:p>
      <w:pPr>
        <w:pStyle w:val="Heading2"/>
        <w:spacing w:before="320" w:after="140"/>
      </w:pPr>
      <w:r>
        <w:rPr>
          <w:rFonts w:ascii="Arial" w:cs="Arial" w:eastAsia="Arial" w:hAnsi="Arial"/>
          <w:b/>
          <w:bCs/>
          <w:color w:val="2C2C2C"/>
          <w:sz w:val="26"/>
          <w:szCs w:val="26"/>
        </w:rPr>
        <w:t xml:space="preserve">1.2  Cuándo es válido el método — y cuándo es una trampa</w:t>
      </w:r>
    </w:p>
    <w:p>
      <w:pPr>
        <w:spacing w:before="0" w:after="120"/>
        <w:jc w:val="left"/>
      </w:pPr>
      <w:r>
        <w:rPr>
          <w:rFonts w:ascii="Arial" w:cs="Arial" w:eastAsia="Arial" w:hAnsi="Arial"/>
          <w:b w:val="false"/>
          <w:bCs w:val="false"/>
          <w:i w:val="false"/>
          <w:iCs w:val="false"/>
          <w:color w:val="1A1814"/>
          <w:sz w:val="22"/>
          <w:szCs w:val="22"/>
        </w:rPr>
        <w:t xml:space="preserve">El Método de Propiedad solo es inteligente bajo tres condiciones simultáneas. Si falta cualquiera de ellas, la misma estructura se convierte en racionalización de pérdidas: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3000"/>
        <w:gridCol w:w="6160"/>
      </w:tblGrid>
      <w:tr>
        <w:tc>
          <w:tcPr>
            <w:tcW w:type="dxa" w:w="200"/>
            <w:gridSpan w:val="1"/>
            <w:tcBorders>
              <w:top w:val="single" w:color="D4C9B8" w:sz="1"/>
              <w:left w:val="single" w:color="D4C9B8" w:sz="1"/>
              <w:bottom w:val="single" w:color="D4C9B8" w:sz="1"/>
              <w:right w:val="single" w:color="D4C9B8" w:sz="1"/>
            </w:tcBorders>
            <w:shd w:fill="1A1814"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
            </w:r>
          </w:p>
        </w:tc>
        <w:tc>
          <w:tcPr>
            <w:tcW w:type="dxa" w:w="3000"/>
            <w:gridSpan w:val="1"/>
            <w:tcBorders>
              <w:top w:val="single" w:color="D4C9B8" w:sz="1"/>
              <w:left w:val="single" w:color="D4C9B8" w:sz="1"/>
              <w:bottom w:val="single" w:color="D4C9B8" w:sz="1"/>
              <w:right w:val="single" w:color="D4C9B8" w:sz="1"/>
            </w:tcBorders>
            <w:shd w:fill="1A1814"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Condición</w:t>
            </w:r>
          </w:p>
        </w:tc>
        <w:tc>
          <w:tcPr>
            <w:tcW w:type="dxa" w:w="6160"/>
            <w:gridSpan w:val="1"/>
            <w:tcBorders>
              <w:top w:val="single" w:color="D4C9B8" w:sz="1"/>
              <w:left w:val="single" w:color="D4C9B8" w:sz="1"/>
              <w:bottom w:val="single" w:color="D4C9B8" w:sz="1"/>
              <w:right w:val="single" w:color="D4C9B8" w:sz="1"/>
            </w:tcBorders>
            <w:shd w:fill="1A1814"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Por qué es necesaria</w:t>
            </w:r>
          </w:p>
        </w:tc>
      </w:tr>
      <w:tr>
        <w:tc>
          <w:tcPr>
            <w:tcW w:type="dxa" w:w="20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bCs/>
                <w:i w:val="false"/>
                <w:iCs w:val="false"/>
                <w:color w:val="B5440E"/>
                <w:sz w:val="20"/>
                <w:szCs w:val="20"/>
              </w:rPr>
              <w:t xml:space="preserve">01</w:t>
            </w:r>
          </w:p>
        </w:tc>
        <w:tc>
          <w:tcPr>
            <w:tcW w:type="dxa" w:w="300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Condiciones de invalidación predefinidas y verificables</w:t>
            </w:r>
          </w:p>
        </w:tc>
        <w:tc>
          <w:tcPr>
            <w:tcW w:type="dxa" w:w="616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Sin ellas, el inversor redefinirá las condiciones de salida cada vez que el precio baje. El método requiere que las condiciones estén fijadas antes de que el precio se mueva.</w:t>
            </w:r>
          </w:p>
        </w:tc>
      </w:tr>
      <w:tr>
        <w:tc>
          <w:tcPr>
            <w:tcW w:type="dxa" w:w="20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bCs/>
                <w:i w:val="false"/>
                <w:iCs w:val="false"/>
                <w:color w:val="B5440E"/>
                <w:sz w:val="20"/>
                <w:szCs w:val="20"/>
              </w:rPr>
              <w:t xml:space="preserve">02</w:t>
            </w:r>
          </w:p>
        </w:tc>
        <w:tc>
          <w:tcPr>
            <w:tcW w:type="dxa" w:w="300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Valor intrínseco respaldado por contratos o activos reales, no proyecciones</w:t>
            </w:r>
          </w:p>
        </w:tc>
        <w:tc>
          <w:tcPr>
            <w:tcW w:type="dxa" w:w="616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La visión de propietario funciona cuando el valor no depende de que el mercado tenga razón. Contratos take-or-pay a 20 años son fundamentalmente distintos de una proyección de crecimiento orgánico.</w:t>
            </w:r>
          </w:p>
        </w:tc>
      </w:tr>
      <w:tr>
        <w:tc>
          <w:tcPr>
            <w:tcW w:type="dxa" w:w="20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bCs/>
                <w:i w:val="false"/>
                <w:iCs w:val="false"/>
                <w:color w:val="B5440E"/>
                <w:sz w:val="20"/>
                <w:szCs w:val="20"/>
              </w:rPr>
              <w:t xml:space="preserve">03</w:t>
            </w:r>
          </w:p>
        </w:tc>
        <w:tc>
          <w:tcPr>
            <w:tcW w:type="dxa" w:w="300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Sizing que permite esperar sin presión</w:t>
            </w:r>
          </w:p>
        </w:tc>
        <w:tc>
          <w:tcPr>
            <w:tcW w:type="dxa" w:w="616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Una posición del 1% del portfolio permite aguantar volatilidad extrema. La misma tesis en el 15% genera presión psicológica que destruye la disciplina del método.</w:t>
            </w:r>
          </w:p>
        </w:tc>
      </w:tr>
    </w:tbl>
    <w:p>
      <w:pPr>
        <w:spacing w:before="0" w:after="200"/>
        <w:jc w:val="left"/>
      </w:pPr>
    </w:p>
    <w:p>
      <w:pPr>
        <w:pStyle w:val="Heading2"/>
        <w:spacing w:before="320" w:after="140"/>
      </w:pPr>
      <w:r>
        <w:rPr>
          <w:rFonts w:ascii="Arial" w:cs="Arial" w:eastAsia="Arial" w:hAnsi="Arial"/>
          <w:b/>
          <w:bCs/>
          <w:color w:val="2C2C2C"/>
          <w:sz w:val="26"/>
          <w:szCs w:val="26"/>
        </w:rPr>
        <w:t xml:space="preserve">1.3  El riesgo estructural del método: sesgo de confirmación</w:t>
      </w:r>
    </w:p>
    <w:p>
      <w:pPr>
        <w:spacing w:before="0" w:after="160"/>
        <w:jc w:val="left"/>
      </w:pPr>
      <w:r>
        <w:rPr>
          <w:rFonts w:ascii="Arial" w:cs="Arial" w:eastAsia="Arial" w:hAnsi="Arial"/>
          <w:b w:val="false"/>
          <w:bCs w:val="false"/>
          <w:i w:val="false"/>
          <w:iCs w:val="false"/>
          <w:color w:val="1A1814"/>
          <w:sz w:val="22"/>
          <w:szCs w:val="22"/>
        </w:rPr>
        <w:t xml:space="preserve">La visión de propietario y el sesgo de confirmación son </w:t>
      </w:r>
      <w:r>
        <w:rPr>
          <w:rFonts w:ascii="Arial" w:cs="Arial" w:eastAsia="Arial" w:hAnsi="Arial"/>
          <w:b/>
          <w:bCs/>
          <w:i/>
          <w:iCs/>
          <w:color w:val="1A1814"/>
          <w:sz w:val="22"/>
          <w:szCs w:val="22"/>
        </w:rPr>
        <w:t xml:space="preserve">indistinguibles desde dentro</w:t>
      </w:r>
      <w:r>
        <w:rPr>
          <w:rFonts w:ascii="Arial" w:cs="Arial" w:eastAsia="Arial" w:hAnsi="Arial"/>
          <w:b w:val="false"/>
          <w:bCs w:val="false"/>
          <w:i w:val="false"/>
          <w:iCs w:val="false"/>
          <w:color w:val="1A1814"/>
          <w:sz w:val="22"/>
          <w:szCs w:val="22"/>
        </w:rPr>
        <w:t xml:space="preserve">. El inversor con convicción genuina y el inversor en negación utilizan exactamente el mismo lenguaje. La única diferencia observable es si las condiciones de invalidación se mantienen fijas o se redefinen cuando el precio baja.</w:t>
      </w:r>
    </w:p>
    <w:p>
      <w:pPr>
        <w:pBdr>
          <w:left w:val="single" w:color="B5440E" w:sz="12" w:space="12"/>
        </w:pBdr>
        <w:shd w:fill="F2EAE0" w:val="clear"/>
        <w:spacing w:before="200" w:after="200"/>
        <w:ind w:left="480"/>
      </w:pPr>
      <w:r>
        <w:rPr>
          <w:rFonts w:ascii="Arial" w:cs="Arial" w:eastAsia="Arial" w:hAnsi="Arial"/>
          <w:i/>
          <w:iCs/>
          <w:color w:val="2C2C2C"/>
          <w:sz w:val="22"/>
          <w:szCs w:val="22"/>
        </w:rPr>
        <w:t xml:space="preserve">Si las condiciones de salida cambian cuando el precio cae, no es visión de propietario. Es negación con nombre técnico.</w:t>
      </w:r>
    </w:p>
    <w:p>
      <w:pPr>
        <w:pBdr>
          <w:bottom w:val="single" w:color="D4C9B8" w:sz="4" w:space="1"/>
        </w:pBdr>
        <w:spacing w:before="200" w:after="200"/>
      </w:pPr>
      <w:r>
        <w:rPr>
          <w:rFonts w:ascii="Arial" w:cs="Arial" w:eastAsia="Arial" w:hAnsi="Arial"/>
        </w:rPr>
        <w:t xml:space="preserve"/>
      </w:r>
    </w:p>
    <w:p>
      <w:pPr>
        <w:pStyle w:val="Heading1"/>
        <w:pBdr>
          <w:bottom w:val="single" w:color="B5440E" w:sz="6" w:space="6"/>
        </w:pBdr>
        <w:spacing w:before="400" w:after="200"/>
      </w:pPr>
      <w:r>
        <w:rPr>
          <w:rFonts w:ascii="Arial" w:cs="Arial" w:eastAsia="Arial" w:hAnsi="Arial"/>
          <w:b/>
          <w:bCs/>
          <w:color w:val="1A1814"/>
          <w:sz w:val="36"/>
          <w:szCs w:val="36"/>
        </w:rPr>
        <w:t xml:space="preserve">Parte II — Razonamiento contrarian</w:t>
      </w:r>
    </w:p>
    <w:p>
      <w:pPr>
        <w:pStyle w:val="Heading2"/>
        <w:spacing w:before="320" w:after="140"/>
      </w:pPr>
      <w:r>
        <w:rPr>
          <w:rFonts w:ascii="Arial" w:cs="Arial" w:eastAsia="Arial" w:hAnsi="Arial"/>
          <w:b/>
          <w:bCs/>
          <w:color w:val="2C2C2C"/>
          <w:sz w:val="26"/>
          <w:szCs w:val="26"/>
        </w:rPr>
        <w:t xml:space="preserve">2.1  Instrucción para el agente IA</w:t>
      </w:r>
    </w:p>
    <w:p>
      <w:pPr>
        <w:spacing w:before="0" w:after="160"/>
        <w:jc w:val="left"/>
      </w:pPr>
      <w:r>
        <w:rPr>
          <w:rFonts w:ascii="Arial" w:cs="Arial" w:eastAsia="Arial" w:hAnsi="Arial"/>
          <w:b w:val="false"/>
          <w:bCs w:val="false"/>
          <w:i w:val="false"/>
          <w:iCs w:val="false"/>
          <w:color w:val="1A1814"/>
          <w:sz w:val="22"/>
          <w:szCs w:val="22"/>
        </w:rPr>
        <w:t xml:space="preserve">El agente debe construir el argumento contrario más fuerte posible contra la tesis — sin concesiones, sin buscar equilibrio, sin respuesta de la tesis. El objetivo no es refutar la tesis sino tensarla al máximo para identificar sus supuestos más frágiles.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D4C9B8" w:sz="1"/>
              <w:left w:val="single" w:color="D4C9B8" w:sz="1"/>
              <w:bottom w:val="single" w:color="D4C9B8" w:sz="1"/>
              <w:right w:val="single" w:color="D4C9B8" w:sz="1"/>
            </w:tcBorders>
            <w:shd w:fill="1A1814"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Principio</w:t>
            </w:r>
          </w:p>
        </w:tc>
        <w:tc>
          <w:tcPr>
            <w:tcW w:type="dxa" w:w="7160"/>
            <w:gridSpan w:val="1"/>
            <w:tcBorders>
              <w:top w:val="single" w:color="D4C9B8" w:sz="1"/>
              <w:left w:val="single" w:color="D4C9B8" w:sz="1"/>
              <w:bottom w:val="single" w:color="D4C9B8" w:sz="1"/>
              <w:right w:val="single" w:color="D4C9B8" w:sz="1"/>
            </w:tcBorders>
            <w:shd w:fill="1A1814"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Descripción</w:t>
            </w:r>
          </w:p>
        </w:tc>
      </w:tr>
      <w:tr>
        <w:tc>
          <w:tcPr>
            <w:tcW w:type="dxa" w:w="220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bCs/>
                <w:i w:val="false"/>
                <w:iCs w:val="false"/>
                <w:color w:val="1A1814"/>
                <w:sz w:val="20"/>
                <w:szCs w:val="20"/>
              </w:rPr>
              <w:t xml:space="preserve">Sin concesiones</w:t>
            </w:r>
          </w:p>
        </w:tc>
        <w:tc>
          <w:tcPr>
            <w:tcW w:type="dxa" w:w="716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No usar frases como 'si bien es cierto que...' o 'aunque la tesis tiene mérito...'. El argumento contrario debe ser tan fuerte como el mejor caso bajista posible.</w:t>
            </w:r>
          </w:p>
        </w:tc>
      </w:tr>
      <w:tr>
        <w:tc>
          <w:tcPr>
            <w:tcW w:type="dxa" w:w="220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bCs/>
                <w:i w:val="false"/>
                <w:iCs w:val="false"/>
                <w:color w:val="1A1814"/>
                <w:sz w:val="20"/>
                <w:szCs w:val="20"/>
              </w:rPr>
              <w:t xml:space="preserve">Atacar los supuestos, no los hechos</w:t>
            </w:r>
          </w:p>
        </w:tc>
        <w:tc>
          <w:tcPr>
            <w:tcW w:type="dxa" w:w="716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Los hechos de la tesis son generalmente correctos. Lo que hay que atacar son los supuestos implícitos: que los contratos no se renegociarán, que el management ejecutará sin errores, que el mercado reconocerá el valor.</w:t>
            </w:r>
          </w:p>
        </w:tc>
      </w:tr>
      <w:tr>
        <w:tc>
          <w:tcPr>
            <w:tcW w:type="dxa" w:w="220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bCs/>
                <w:i w:val="false"/>
                <w:iCs w:val="false"/>
                <w:color w:val="1A1814"/>
                <w:sz w:val="20"/>
                <w:szCs w:val="20"/>
              </w:rPr>
              <w:t xml:space="preserve">Separar riesgo de timing de riesgo de tesis</w:t>
            </w:r>
          </w:p>
        </w:tc>
        <w:tc>
          <w:tcPr>
            <w:tcW w:type="dxa" w:w="716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Un retraso de 12 meses en un catalizador no invalida la tesis — pospone el retorno. Una cancelación de contrato la invalida. El agente debe distinguir entre los dos.</w:t>
            </w:r>
          </w:p>
        </w:tc>
      </w:tr>
      <w:tr>
        <w:tc>
          <w:tcPr>
            <w:tcW w:type="dxa" w:w="220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bCs/>
                <w:i w:val="false"/>
                <w:iCs w:val="false"/>
                <w:color w:val="1A1814"/>
                <w:sz w:val="20"/>
                <w:szCs w:val="20"/>
              </w:rPr>
              <w:t xml:space="preserve">Identificar el argumento más incómodo</w:t>
            </w:r>
          </w:p>
        </w:tc>
        <w:tc>
          <w:tcPr>
            <w:tcW w:type="dxa" w:w="716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Siempre hay un argumento contra la tesis que no tiene respuesta operativa — solo sizing. El agente debe identificarlo explícitamente y etiquetarlo como 'riesgo no gestionable con monitorización'.</w:t>
            </w:r>
          </w:p>
        </w:tc>
      </w:tr>
    </w:tbl>
    <w:p>
      <w:pPr>
        <w:spacing w:before="0" w:after="200"/>
        <w:jc w:val="left"/>
      </w:pPr>
    </w:p>
    <w:p>
      <w:pPr>
        <w:pStyle w:val="Heading2"/>
        <w:spacing w:before="320" w:after="140"/>
      </w:pPr>
      <w:r>
        <w:rPr>
          <w:rFonts w:ascii="Arial" w:cs="Arial" w:eastAsia="Arial" w:hAnsi="Arial"/>
          <w:b/>
          <w:bCs/>
          <w:color w:val="2C2C2C"/>
          <w:sz w:val="26"/>
          <w:szCs w:val="26"/>
        </w:rPr>
        <w:t xml:space="preserve">2.2  Estructura del análisis contrarian</w:t>
      </w:r>
    </w:p>
    <w:p>
      <w:pPr>
        <w:spacing w:before="0" w:after="120"/>
        <w:jc w:val="left"/>
      </w:pPr>
      <w:r>
        <w:rPr>
          <w:rFonts w:ascii="Arial" w:cs="Arial" w:eastAsia="Arial" w:hAnsi="Arial"/>
          <w:b w:val="false"/>
          <w:bCs w:val="false"/>
          <w:i w:val="false"/>
          <w:iCs w:val="false"/>
          <w:color w:val="1A1814"/>
          <w:sz w:val="22"/>
          <w:szCs w:val="22"/>
        </w:rPr>
        <w:t xml:space="preserve">Para cada tesis, el agente debe construir exactamente cinco argumentos contrarios en este orden de prioridad: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560"/>
        <w:gridCol w:w="6160"/>
      </w:tblGrid>
      <w:tr>
        <w:tc>
          <w:tcPr>
            <w:tcW w:type="dxa" w:w="640"/>
            <w:gridSpan w:val="1"/>
            <w:tcBorders>
              <w:top w:val="single" w:color="D4C9B8" w:sz="1"/>
              <w:left w:val="single" w:color="D4C9B8" w:sz="1"/>
              <w:bottom w:val="single" w:color="D4C9B8" w:sz="1"/>
              <w:right w:val="single" w:color="D4C9B8" w:sz="1"/>
            </w:tcBorders>
            <w:shd w:fill="1A1814"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Nº</w:t>
            </w:r>
          </w:p>
        </w:tc>
        <w:tc>
          <w:tcPr>
            <w:tcW w:type="dxa" w:w="2560"/>
            <w:gridSpan w:val="1"/>
            <w:tcBorders>
              <w:top w:val="single" w:color="D4C9B8" w:sz="1"/>
              <w:left w:val="single" w:color="D4C9B8" w:sz="1"/>
              <w:bottom w:val="single" w:color="D4C9B8" w:sz="1"/>
              <w:right w:val="single" w:color="D4C9B8" w:sz="1"/>
            </w:tcBorders>
            <w:shd w:fill="1A1814"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Tipo de argumento</w:t>
            </w:r>
          </w:p>
        </w:tc>
        <w:tc>
          <w:tcPr>
            <w:tcW w:type="dxa" w:w="6160"/>
            <w:gridSpan w:val="1"/>
            <w:tcBorders>
              <w:top w:val="single" w:color="D4C9B8" w:sz="1"/>
              <w:left w:val="single" w:color="D4C9B8" w:sz="1"/>
              <w:bottom w:val="single" w:color="D4C9B8" w:sz="1"/>
              <w:right w:val="single" w:color="D4C9B8" w:sz="1"/>
            </w:tcBorders>
            <w:shd w:fill="1A1814"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Qué debe responder</w:t>
            </w:r>
          </w:p>
        </w:tc>
      </w:tr>
      <w:tr>
        <w:tc>
          <w:tcPr>
            <w:tcW w:type="dxa" w:w="64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bCs/>
                <w:i w:val="false"/>
                <w:iCs w:val="false"/>
                <w:color w:val="B5440E"/>
                <w:sz w:val="20"/>
                <w:szCs w:val="20"/>
              </w:rPr>
              <w:t xml:space="preserve">DA-01</w:t>
            </w:r>
          </w:p>
        </w:tc>
        <w:tc>
          <w:tcPr>
            <w:tcW w:type="dxa" w:w="256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Riesgo de ejecución</w:t>
            </w:r>
          </w:p>
        </w:tc>
        <w:tc>
          <w:tcPr>
            <w:tcW w:type="dxa" w:w="616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¿Qué cadena de eventos tiene que completarse sin ningún descarrilamiento para que la tesis se cumpla? ¿Cuál es el historial de ejecución en proyectos similares?</w:t>
            </w:r>
          </w:p>
        </w:tc>
      </w:tr>
      <w:tr>
        <w:tc>
          <w:tcPr>
            <w:tcW w:type="dxa" w:w="64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bCs/>
                <w:i w:val="false"/>
                <w:iCs w:val="false"/>
                <w:color w:val="B5440E"/>
                <w:sz w:val="20"/>
                <w:szCs w:val="20"/>
              </w:rPr>
              <w:t xml:space="preserve">DA-02</w:t>
            </w:r>
          </w:p>
        </w:tc>
        <w:tc>
          <w:tcPr>
            <w:tcW w:type="dxa" w:w="256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Riesgo soberano / no gestionable</w:t>
            </w:r>
          </w:p>
        </w:tc>
        <w:tc>
          <w:tcPr>
            <w:tcW w:type="dxa" w:w="616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¿Hay un riesgo en la tesis que no tiene respuesta operativa? ¿Es detectable con monitorización o solo contenible con sizing? Este es invariablemente el argumento más incómodo.</w:t>
            </w:r>
          </w:p>
        </w:tc>
      </w:tr>
      <w:tr>
        <w:tc>
          <w:tcPr>
            <w:tcW w:type="dxa" w:w="64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bCs/>
                <w:i w:val="false"/>
                <w:iCs w:val="false"/>
                <w:color w:val="B5440E"/>
                <w:sz w:val="20"/>
                <w:szCs w:val="20"/>
              </w:rPr>
              <w:t xml:space="preserve">DA-03</w:t>
            </w:r>
          </w:p>
        </w:tc>
        <w:tc>
          <w:tcPr>
            <w:tcW w:type="dxa" w:w="256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Múltiplo — ¿es barato o correcto?</w:t>
            </w:r>
          </w:p>
        </w:tc>
        <w:tc>
          <w:tcPr>
            <w:tcW w:type="dxa" w:w="616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¿El descuento de mercado refleja un error del mercado o una valoración correcta del perfil de riesgo real? El mercado no es estúpido. Si cotiza a descuento, ¿por qué?</w:t>
            </w:r>
          </w:p>
        </w:tc>
      </w:tr>
      <w:tr>
        <w:tc>
          <w:tcPr>
            <w:tcW w:type="dxa" w:w="64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bCs/>
                <w:i w:val="false"/>
                <w:iCs w:val="false"/>
                <w:color w:val="B5440E"/>
                <w:sz w:val="20"/>
                <w:szCs w:val="20"/>
              </w:rPr>
              <w:t xml:space="preserve">DA-04</w:t>
            </w:r>
          </w:p>
        </w:tc>
        <w:tc>
          <w:tcPr>
            <w:tcW w:type="dxa" w:w="256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ROIC — ¿justifica la prima?</w:t>
            </w:r>
          </w:p>
        </w:tc>
        <w:tc>
          <w:tcPr>
            <w:tcW w:type="dxa" w:w="616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¿El ROIC actual soporta el múltiplo objetivo? ¿O la tesis requiere un ROIC futuro que aún no existe y cuya materialización depende de los mismos catalizadores que se intentan descontar?</w:t>
            </w:r>
          </w:p>
        </w:tc>
      </w:tr>
      <w:tr>
        <w:tc>
          <w:tcPr>
            <w:tcW w:type="dxa" w:w="64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bCs/>
                <w:i w:val="false"/>
                <w:iCs w:val="false"/>
                <w:color w:val="B5440E"/>
                <w:sz w:val="20"/>
                <w:szCs w:val="20"/>
              </w:rPr>
              <w:t xml:space="preserve">DA-05</w:t>
            </w:r>
          </w:p>
        </w:tc>
        <w:tc>
          <w:tcPr>
            <w:tcW w:type="dxa" w:w="256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Deterioro gradual no detectable</w:t>
            </w:r>
          </w:p>
        </w:tc>
        <w:tc>
          <w:tcPr>
            <w:tcW w:type="dxa" w:w="616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¿Podría el precio estar cayendo no por ruido sino por información real que el inversor no tiene? ¿Hay señales débiles acumulándose que individualmente son ruido pero juntas son señal?</w:t>
            </w:r>
          </w:p>
        </w:tc>
      </w:tr>
    </w:tbl>
    <w:p>
      <w:pPr>
        <w:spacing w:before="0" w:after="200"/>
        <w:jc w:val="left"/>
      </w:pPr>
    </w:p>
    <w:p>
      <w:pPr>
        <w:pStyle w:val="Heading2"/>
        <w:spacing w:before="320" w:after="140"/>
      </w:pPr>
      <w:r>
        <w:rPr>
          <w:rFonts w:ascii="Arial" w:cs="Arial" w:eastAsia="Arial" w:hAnsi="Arial"/>
          <w:b/>
          <w:bCs/>
          <w:color w:val="2C2C2C"/>
          <w:sz w:val="26"/>
          <w:szCs w:val="26"/>
        </w:rPr>
        <w:t xml:space="preserve">2.3  Respuesta estructurada de la tesis</w:t>
      </w:r>
    </w:p>
    <w:p>
      <w:pPr>
        <w:spacing w:before="0" w:after="120"/>
        <w:jc w:val="left"/>
      </w:pPr>
      <w:r>
        <w:rPr>
          <w:rFonts w:ascii="Arial" w:cs="Arial" w:eastAsia="Arial" w:hAnsi="Arial"/>
          <w:b w:val="false"/>
          <w:bCs w:val="false"/>
          <w:i w:val="false"/>
          <w:iCs w:val="false"/>
          <w:color w:val="1A1814"/>
          <w:sz w:val="22"/>
          <w:szCs w:val="22"/>
        </w:rPr>
        <w:t xml:space="preserve">Una vez construidos los cinco argumentos, el agente debe generar la respuesta de la tesis a cada uno. La respuesta debe seguir esta estructura:</w:t>
      </w:r>
    </w:p>
    <w:p>
      <w:pPr>
        <w:pStyle w:val="ListParagraph"/>
        <w:numPr>
          <w:ilvl w:val="0"/>
          <w:numId w:val="3"/>
        </w:numPr>
        <w:spacing w:before="60" w:after="80"/>
      </w:pPr>
      <w:r>
        <w:rPr>
          <w:rFonts w:ascii="Arial" w:cs="Arial" w:eastAsia="Arial" w:hAnsi="Arial"/>
          <w:b w:val="false"/>
          <w:bCs w:val="false"/>
          <w:i w:val="false"/>
          <w:iCs w:val="false"/>
          <w:color w:val="1A1814"/>
          <w:sz w:val="22"/>
          <w:szCs w:val="22"/>
        </w:rPr>
        <w:t xml:space="preserve">¿El argumento ataca el </w:t>
      </w:r>
      <w:r>
        <w:rPr>
          <w:rFonts w:ascii="Arial" w:cs="Arial" w:eastAsia="Arial" w:hAnsi="Arial"/>
          <w:b/>
          <w:bCs/>
          <w:i w:val="false"/>
          <w:iCs w:val="false"/>
          <w:color w:val="1A1814"/>
          <w:sz w:val="22"/>
          <w:szCs w:val="22"/>
        </w:rPr>
        <w:t xml:space="preserve">valor intrínseco</w:t>
      </w:r>
      <w:r>
        <w:rPr>
          <w:rFonts w:ascii="Arial" w:cs="Arial" w:eastAsia="Arial" w:hAnsi="Arial"/>
          <w:b w:val="false"/>
          <w:bCs w:val="false"/>
          <w:i w:val="false"/>
          <w:iCs w:val="false"/>
          <w:color w:val="1A1814"/>
          <w:sz w:val="22"/>
          <w:szCs w:val="22"/>
        </w:rPr>
        <w:t xml:space="preserve"> o solo el </w:t>
      </w:r>
      <w:r>
        <w:rPr>
          <w:rFonts w:ascii="Arial" w:cs="Arial" w:eastAsia="Arial" w:hAnsi="Arial"/>
          <w:b/>
          <w:bCs/>
          <w:i w:val="false"/>
          <w:iCs w:val="false"/>
          <w:color w:val="1A1814"/>
          <w:sz w:val="22"/>
          <w:szCs w:val="22"/>
        </w:rPr>
        <w:t xml:space="preserve">timing</w:t>
      </w:r>
      <w:r>
        <w:rPr>
          <w:rFonts w:ascii="Arial" w:cs="Arial" w:eastAsia="Arial" w:hAnsi="Arial"/>
          <w:b w:val="false"/>
          <w:bCs w:val="false"/>
          <w:i w:val="false"/>
          <w:iCs w:val="false"/>
          <w:color w:val="1A1814"/>
          <w:sz w:val="22"/>
          <w:szCs w:val="22"/>
        </w:rPr>
        <w:t xml:space="preserve">? Si ataca el timing, la respuesta es sizing y paciencia. Si ataca el valor intrínseco, requiere revisión de supuestos.</w:t>
      </w:r>
    </w:p>
    <w:p>
      <w:pPr>
        <w:pStyle w:val="ListParagraph"/>
        <w:numPr>
          <w:ilvl w:val="0"/>
          <w:numId w:val="3"/>
        </w:numPr>
        <w:spacing w:before="60" w:after="80"/>
      </w:pPr>
      <w:r>
        <w:rPr>
          <w:rFonts w:ascii="Arial" w:cs="Arial" w:eastAsia="Arial" w:hAnsi="Arial"/>
          <w:b w:val="false"/>
          <w:bCs w:val="false"/>
          <w:i w:val="false"/>
          <w:iCs w:val="false"/>
          <w:color w:val="1A1814"/>
          <w:sz w:val="22"/>
          <w:szCs w:val="22"/>
        </w:rPr>
        <w:t xml:space="preserve">¿El argumento es </w:t>
      </w:r>
      <w:r>
        <w:rPr>
          <w:rFonts w:ascii="Arial" w:cs="Arial" w:eastAsia="Arial" w:hAnsi="Arial"/>
          <w:b/>
          <w:bCs/>
          <w:i w:val="false"/>
          <w:iCs w:val="false"/>
          <w:color w:val="1A1814"/>
          <w:sz w:val="22"/>
          <w:szCs w:val="22"/>
        </w:rPr>
        <w:t xml:space="preserve">gestionable con monitorización</w:t>
      </w:r>
      <w:r>
        <w:rPr>
          <w:rFonts w:ascii="Arial" w:cs="Arial" w:eastAsia="Arial" w:hAnsi="Arial"/>
          <w:b w:val="false"/>
          <w:bCs w:val="false"/>
          <w:i w:val="false"/>
          <w:iCs w:val="false"/>
          <w:color w:val="1A1814"/>
          <w:sz w:val="22"/>
          <w:szCs w:val="22"/>
        </w:rPr>
        <w:t xml:space="preserve"> o solo </w:t>
      </w:r>
      <w:r>
        <w:rPr>
          <w:rFonts w:ascii="Arial" w:cs="Arial" w:eastAsia="Arial" w:hAnsi="Arial"/>
          <w:b/>
          <w:bCs/>
          <w:i w:val="false"/>
          <w:iCs w:val="false"/>
          <w:color w:val="1A1814"/>
          <w:sz w:val="22"/>
          <w:szCs w:val="22"/>
        </w:rPr>
        <w:t xml:space="preserve">contenible con sizing</w:t>
      </w:r>
      <w:r>
        <w:rPr>
          <w:rFonts w:ascii="Arial" w:cs="Arial" w:eastAsia="Arial" w:hAnsi="Arial"/>
          <w:b w:val="false"/>
          <w:bCs w:val="false"/>
          <w:i w:val="false"/>
          <w:iCs w:val="false"/>
          <w:color w:val="1A1814"/>
          <w:sz w:val="22"/>
          <w:szCs w:val="22"/>
        </w:rPr>
        <w:t xml:space="preserve">? Los riesgos no monitorizables no tienen respuesta operativa — solo tienen respuesta de posición.</w:t>
      </w:r>
    </w:p>
    <w:p>
      <w:pPr>
        <w:pStyle w:val="ListParagraph"/>
        <w:numPr>
          <w:ilvl w:val="0"/>
          <w:numId w:val="3"/>
        </w:numPr>
        <w:spacing w:before="60" w:after="200"/>
      </w:pPr>
      <w:r>
        <w:rPr>
          <w:rFonts w:ascii="Arial" w:cs="Arial" w:eastAsia="Arial" w:hAnsi="Arial"/>
          <w:b w:val="false"/>
          <w:bCs w:val="false"/>
          <w:i w:val="false"/>
          <w:iCs w:val="false"/>
          <w:color w:val="1A1814"/>
          <w:sz w:val="22"/>
          <w:szCs w:val="22"/>
        </w:rPr>
        <w:t xml:space="preserve">¿Cuál es la </w:t>
      </w:r>
      <w:r>
        <w:rPr>
          <w:rFonts w:ascii="Arial" w:cs="Arial" w:eastAsia="Arial" w:hAnsi="Arial"/>
          <w:b/>
          <w:bCs/>
          <w:i w:val="false"/>
          <w:iCs w:val="false"/>
          <w:color w:val="1A1814"/>
          <w:sz w:val="22"/>
          <w:szCs w:val="22"/>
        </w:rPr>
        <w:t xml:space="preserve">condición de invalidación concreta</w:t>
      </w:r>
      <w:r>
        <w:rPr>
          <w:rFonts w:ascii="Arial" w:cs="Arial" w:eastAsia="Arial" w:hAnsi="Arial"/>
          <w:b w:val="false"/>
          <w:bCs w:val="false"/>
          <w:i w:val="false"/>
          <w:iCs w:val="false"/>
          <w:color w:val="1A1814"/>
          <w:sz w:val="22"/>
          <w:szCs w:val="22"/>
        </w:rPr>
        <w:t xml:space="preserve"> si el argumento contrario resulta correcto? Si no puede formularse en términos binarios y verificables, el argumento es demasiado vago para ser útil.</w:t>
      </w:r>
    </w:p>
    <w:p>
      <w:pPr>
        <w:pBdr>
          <w:bottom w:val="single" w:color="D4C9B8" w:sz="4" w:space="1"/>
        </w:pBdr>
        <w:spacing w:before="200" w:after="200"/>
      </w:pPr>
      <w:r>
        <w:rPr>
          <w:rFonts w:ascii="Arial" w:cs="Arial" w:eastAsia="Arial" w:hAnsi="Arial"/>
        </w:rPr>
        <w:t xml:space="preserve"/>
      </w:r>
    </w:p>
    <w:p>
      <w:pPr>
        <w:pStyle w:val="Heading1"/>
        <w:pBdr>
          <w:bottom w:val="single" w:color="B5440E" w:sz="6" w:space="6"/>
        </w:pBdr>
        <w:spacing w:before="400" w:after="200"/>
      </w:pPr>
      <w:r>
        <w:rPr>
          <w:rFonts w:ascii="Arial" w:cs="Arial" w:eastAsia="Arial" w:hAnsi="Arial"/>
          <w:b/>
          <w:bCs/>
          <w:color w:val="1A1814"/>
          <w:sz w:val="36"/>
          <w:szCs w:val="36"/>
        </w:rPr>
        <w:t xml:space="preserve">Parte III — Identificación de fisuras silenciosas</w:t>
      </w:r>
    </w:p>
    <w:p>
      <w:pPr>
        <w:pStyle w:val="Heading2"/>
        <w:spacing w:before="320" w:after="140"/>
      </w:pPr>
      <w:r>
        <w:rPr>
          <w:rFonts w:ascii="Arial" w:cs="Arial" w:eastAsia="Arial" w:hAnsi="Arial"/>
          <w:b/>
          <w:bCs/>
          <w:color w:val="2C2C2C"/>
          <w:sz w:val="26"/>
          <w:szCs w:val="26"/>
        </w:rPr>
        <w:t xml:space="preserve">3.1  Qué es una fisura silenciosa</w:t>
      </w:r>
    </w:p>
    <w:p>
      <w:pPr>
        <w:spacing w:before="0" w:after="160"/>
        <w:jc w:val="left"/>
      </w:pPr>
      <w:r>
        <w:rPr>
          <w:rFonts w:ascii="Arial" w:cs="Arial" w:eastAsia="Arial" w:hAnsi="Arial"/>
          <w:b w:val="false"/>
          <w:bCs w:val="false"/>
          <w:i w:val="false"/>
          <w:iCs w:val="false"/>
          <w:color w:val="1A1814"/>
          <w:sz w:val="22"/>
          <w:szCs w:val="22"/>
        </w:rPr>
        <w:t xml:space="preserve">Una fisura silenciosa es deterioro real de la tesis que no aparece en los datos cuantitativos. No es una caída de precio, ni un titular negativo, ni un hito de invalidación activado. Es un cambio sutil en el patrón de comportamiento de los actores relevantes — management, institucionales, competidores — que precede al deterioro visible por semanas o meses.</w:t>
      </w:r>
    </w:p>
    <w:p>
      <w:pPr>
        <w:pBdr>
          <w:left w:val="single" w:color="B5440E" w:sz="12" w:space="12"/>
        </w:pBdr>
        <w:shd w:fill="F2EAE0" w:val="clear"/>
        <w:spacing w:before="200" w:after="200"/>
        <w:ind w:left="480"/>
      </w:pPr>
      <w:r>
        <w:rPr>
          <w:rFonts w:ascii="Arial" w:cs="Arial" w:eastAsia="Arial" w:hAnsi="Arial"/>
          <w:i/>
          <w:iCs/>
          <w:color w:val="2C2C2C"/>
          <w:sz w:val="22"/>
          <w:szCs w:val="22"/>
        </w:rPr>
        <w:t xml:space="preserve">El deterioro silencioso no llega como una keyword en Reuters. Llega como una frase en una earnings call que suena ligeramente diferente, o como la ausencia de algo que antes siempre estaba.</w:t>
      </w:r>
    </w:p>
    <w:p>
      <w:pPr>
        <w:spacing w:before="0" w:after="120"/>
        <w:jc w:val="left"/>
      </w:pPr>
    </w:p>
    <w:p>
      <w:pPr>
        <w:pStyle w:val="Heading2"/>
        <w:spacing w:before="320" w:after="140"/>
      </w:pPr>
      <w:r>
        <w:rPr>
          <w:rFonts w:ascii="Arial" w:cs="Arial" w:eastAsia="Arial" w:hAnsi="Arial"/>
          <w:b/>
          <w:bCs/>
          <w:color w:val="2C2C2C"/>
          <w:sz w:val="26"/>
          <w:szCs w:val="26"/>
        </w:rPr>
        <w:t xml:space="preserve">3.2  Tipología de fisuras — tabla de referencia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80"/>
        <w:gridCol w:w="2280"/>
      </w:tblGrid>
      <w:tr>
        <w:tc>
          <w:tcPr>
            <w:tcW w:type="dxa" w:w="1800"/>
            <w:gridSpan w:val="1"/>
            <w:tcBorders>
              <w:top w:val="single" w:color="D4C9B8" w:sz="1"/>
              <w:left w:val="single" w:color="D4C9B8" w:sz="1"/>
              <w:bottom w:val="single" w:color="D4C9B8" w:sz="1"/>
              <w:right w:val="single" w:color="D4C9B8" w:sz="1"/>
            </w:tcBorders>
            <w:shd w:fill="1A1814"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Tipo de fisura</w:t>
            </w:r>
          </w:p>
        </w:tc>
        <w:tc>
          <w:tcPr>
            <w:tcW w:type="dxa" w:w="2400"/>
            <w:gridSpan w:val="1"/>
            <w:tcBorders>
              <w:top w:val="single" w:color="D4C9B8" w:sz="1"/>
              <w:left w:val="single" w:color="D4C9B8" w:sz="1"/>
              <w:bottom w:val="single" w:color="D4C9B8" w:sz="1"/>
              <w:right w:val="single" w:color="D4C9B8" w:sz="1"/>
            </w:tcBorders>
            <w:shd w:fill="1A1814"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Manifestación observable</w:t>
            </w:r>
          </w:p>
        </w:tc>
        <w:tc>
          <w:tcPr>
            <w:tcW w:type="dxa" w:w="2880"/>
            <w:gridSpan w:val="1"/>
            <w:tcBorders>
              <w:top w:val="single" w:color="D4C9B8" w:sz="1"/>
              <w:left w:val="single" w:color="D4C9B8" w:sz="1"/>
              <w:bottom w:val="single" w:color="D4C9B8" w:sz="1"/>
              <w:right w:val="single" w:color="D4C9B8" w:sz="1"/>
            </w:tcBorders>
            <w:shd w:fill="1A1814"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Señal de alerta</w:t>
            </w:r>
          </w:p>
        </w:tc>
        <w:tc>
          <w:tcPr>
            <w:tcW w:type="dxa" w:w="2280"/>
            <w:gridSpan w:val="1"/>
            <w:tcBorders>
              <w:top w:val="single" w:color="D4C9B8" w:sz="1"/>
              <w:left w:val="single" w:color="D4C9B8" w:sz="1"/>
              <w:bottom w:val="single" w:color="D4C9B8" w:sz="1"/>
              <w:right w:val="single" w:color="D4C9B8" w:sz="1"/>
            </w:tcBorders>
            <w:shd w:fill="1A1814"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Falso positivo conocido</w:t>
            </w:r>
          </w:p>
        </w:tc>
      </w:tr>
      <w:tr>
        <w:tc>
          <w:tcPr>
            <w:tcW w:type="dxa" w:w="180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bCs/>
                <w:i w:val="false"/>
                <w:iCs w:val="false"/>
                <w:color w:val="1A1814"/>
                <w:sz w:val="20"/>
                <w:szCs w:val="20"/>
              </w:rPr>
              <w:t xml:space="preserve">Management — cambio de tono</w:t>
            </w:r>
          </w:p>
        </w:tc>
        <w:tc>
          <w:tcPr>
            <w:tcW w:type="dxa" w:w="240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Lenguaje más cauteloso en earnings calls. Menos detalles sobre catalizadores futuros. Preguntas de analistas sin respuesta concreta.</w:t>
            </w:r>
          </w:p>
        </w:tc>
        <w:tc>
          <w:tcPr>
            <w:tcW w:type="dxa" w:w="288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Mismo ejecutivo que antes detallaba timelines ahora habla de 'progreso según lo esperado' sin cifras.</w:t>
            </w:r>
          </w:p>
        </w:tc>
        <w:tc>
          <w:tcPr>
            <w:tcW w:type="dxa" w:w="228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Cambio de CEO o IR. El tono nuevo puede ser estilo personal, no señal de deterioro.</w:t>
            </w:r>
          </w:p>
        </w:tc>
      </w:tr>
      <w:tr>
        <w:tc>
          <w:tcPr>
            <w:tcW w:type="dxa" w:w="180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bCs/>
                <w:i w:val="false"/>
                <w:iCs w:val="false"/>
                <w:color w:val="1A1814"/>
                <w:sz w:val="20"/>
                <w:szCs w:val="20"/>
              </w:rPr>
              <w:t xml:space="preserve">Institucionales — ausencia en cartas</w:t>
            </w:r>
          </w:p>
        </w:tc>
        <w:tc>
          <w:tcPr>
            <w:tcW w:type="dxa" w:w="240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Un inversor que habitualmente comenta su mayor posición deja de mencionarla en el texto de sus cartas durante dos o más periodos consecutivos.</w:t>
            </w:r>
          </w:p>
        </w:tc>
        <w:tc>
          <w:tcPr>
            <w:tcW w:type="dxa" w:w="288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Posición intacta en 13F pero silencio total en carta trimestral — especialmente si la acción ha sido detractora de rentabilidad.</w:t>
            </w:r>
          </w:p>
        </w:tc>
        <w:tc>
          <w:tcPr>
            <w:tcW w:type="dxa" w:w="228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El gestor puede simplemente haber encontrado ideas más interesantes que comunicar. El silencio sobre una posición estable no es necesariamente señal.</w:t>
            </w:r>
          </w:p>
        </w:tc>
      </w:tr>
      <w:tr>
        <w:tc>
          <w:tcPr>
            <w:tcW w:type="dxa" w:w="180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bCs/>
                <w:i w:val="false"/>
                <w:iCs w:val="false"/>
                <w:color w:val="1A1814"/>
                <w:sz w:val="20"/>
                <w:szCs w:val="20"/>
              </w:rPr>
              <w:t xml:space="preserve">Institucionales — divergencia de señales</w:t>
            </w:r>
          </w:p>
        </w:tc>
        <w:tc>
          <w:tcPr>
            <w:tcW w:type="dxa" w:w="240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Los diferentes tipos de manos fuertes (operativo, re-rating, valor intrínseco) empiezan a comportarse de forma distinta sin catalizador obvio.</w:t>
            </w:r>
          </w:p>
        </w:tc>
        <w:tc>
          <w:tcPr>
            <w:tcW w:type="dxa" w:w="288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El inversor operativo (con acceso a información del negocio) reduce mientras el inversor financiero mantiene.</w:t>
            </w:r>
          </w:p>
        </w:tc>
        <w:tc>
          <w:tcPr>
            <w:tcW w:type="dxa" w:w="228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Reducción del inversor con plusvalía elevada puede ser profit-taking fiscal, no señal de deterioro de tesis.</w:t>
            </w:r>
          </w:p>
        </w:tc>
      </w:tr>
      <w:tr>
        <w:tc>
          <w:tcPr>
            <w:tcW w:type="dxa" w:w="180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bCs/>
                <w:i w:val="false"/>
                <w:iCs w:val="false"/>
                <w:color w:val="1A1814"/>
                <w:sz w:val="20"/>
                <w:szCs w:val="20"/>
              </w:rPr>
              <w:t xml:space="preserve">Proyecto — patrón de comunicación</w:t>
            </w:r>
          </w:p>
        </w:tc>
        <w:tc>
          <w:tcPr>
            <w:tcW w:type="dxa" w:w="240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Los comunicados de progreso de un proyecto clave se vuelven más genéricos o menos frecuentes sin justificación explícita.</w:t>
            </w:r>
          </w:p>
        </w:tc>
        <w:tc>
          <w:tcPr>
            <w:tcW w:type="dxa" w:w="288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Un proyecto que antes publicaba updates mensuales pasa a publicar updates trimestrales describiendo 'avances sostenidos'.</w:t>
            </w:r>
          </w:p>
        </w:tc>
        <w:tc>
          <w:tcPr>
            <w:tcW w:type="dxa" w:w="228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Cambios en política de comunicación corporativa. Nuevos equipos de IR con estilo diferente.</w:t>
            </w:r>
          </w:p>
        </w:tc>
      </w:tr>
      <w:tr>
        <w:tc>
          <w:tcPr>
            <w:tcW w:type="dxa" w:w="180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bCs/>
                <w:i w:val="false"/>
                <w:iCs w:val="false"/>
                <w:color w:val="1A1814"/>
                <w:sz w:val="20"/>
                <w:szCs w:val="20"/>
              </w:rPr>
              <w:t xml:space="preserve">Sector — señal de proveedor clave</w:t>
            </w:r>
          </w:p>
        </w:tc>
        <w:tc>
          <w:tcPr>
            <w:tcW w:type="dxa" w:w="240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Un proveedor o contratista crítico para la tesis muestra señales de estrés financiero o retrasos en otros proyectos similares.</w:t>
            </w:r>
          </w:p>
        </w:tc>
        <w:tc>
          <w:tcPr>
            <w:tcW w:type="dxa" w:w="288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El proveedor retrasa entregas a terceros por problemas de capacidad o financiación antes de que afecte al proyecto propio.</w:t>
            </w:r>
          </w:p>
        </w:tc>
        <w:tc>
          <w:tcPr>
            <w:tcW w:type="dxa" w:w="228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Retrasos en proyectos de terceros pueden tener causas específicas no relacionadas con capacidad sistémica.</w:t>
            </w:r>
          </w:p>
        </w:tc>
      </w:tr>
      <w:tr>
        <w:tc>
          <w:tcPr>
            <w:tcW w:type="dxa" w:w="180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bCs/>
                <w:i w:val="false"/>
                <w:iCs w:val="false"/>
                <w:color w:val="1A1814"/>
                <w:sz w:val="20"/>
                <w:szCs w:val="20"/>
              </w:rPr>
              <w:t xml:space="preserve">Contraparte — cambio de incentivos</w:t>
            </w:r>
          </w:p>
        </w:tc>
        <w:tc>
          <w:tcPr>
            <w:tcW w:type="dxa" w:w="240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Una contraparte de contrato clave experimenta un cambio en su estructura de propiedad, gobierno o situación financiera que altera sus incentivos.</w:t>
            </w:r>
          </w:p>
        </w:tc>
        <w:tc>
          <w:tcPr>
            <w:tcW w:type="dxa" w:w="288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Cambio de accionista de control en la contraparte. Reestructuración de deuda. Nuevo equipo directivo con historial distinto.</w:t>
            </w:r>
          </w:p>
        </w:tc>
        <w:tc>
          <w:tcPr>
            <w:tcW w:type="dxa" w:w="228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Los cambios de propiedad no implican cambio de política contractual. Los contratos take-or-pay tienen protección legal independiente de quién sea el propietario.</w:t>
            </w:r>
          </w:p>
        </w:tc>
      </w:tr>
    </w:tbl>
    <w:p>
      <w:pPr>
        <w:spacing w:before="0" w:after="200"/>
        <w:jc w:val="left"/>
      </w:pPr>
    </w:p>
    <w:p>
      <w:pPr>
        <w:pStyle w:val="Heading2"/>
        <w:spacing w:before="320" w:after="140"/>
      </w:pPr>
      <w:r>
        <w:rPr>
          <w:rFonts w:ascii="Arial" w:cs="Arial" w:eastAsia="Arial" w:hAnsi="Arial"/>
          <w:b/>
          <w:bCs/>
          <w:color w:val="2C2C2C"/>
          <w:sz w:val="26"/>
          <w:szCs w:val="26"/>
        </w:rPr>
        <w:t xml:space="preserve">3.3  El sistema VAL — hitos de valoración activos</w:t>
      </w:r>
    </w:p>
    <w:p>
      <w:pPr>
        <w:spacing w:before="0" w:after="120"/>
        <w:jc w:val="left"/>
      </w:pPr>
      <w:r>
        <w:rPr>
          <w:rFonts w:ascii="Arial" w:cs="Arial" w:eastAsia="Arial" w:hAnsi="Arial"/>
          <w:b w:val="false"/>
          <w:bCs w:val="false"/>
          <w:i w:val="false"/>
          <w:iCs w:val="false"/>
          <w:color w:val="1A1814"/>
          <w:sz w:val="22"/>
          <w:szCs w:val="22"/>
        </w:rPr>
        <w:t xml:space="preserve">Los hitos de invalidación binarios detectan catástrofes. Los hitos de valoración detectan deterioro gradual. Para cada tesis, el agente debe definir tres hitos VAL verificables en cada revisión trimestral: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880"/>
        <w:gridCol w:w="1960"/>
        <w:gridCol w:w="1920"/>
      </w:tblGrid>
      <w:tr>
        <w:tc>
          <w:tcPr>
            <w:tcW w:type="dxa" w:w="800"/>
            <w:gridSpan w:val="1"/>
            <w:tcBorders>
              <w:top w:val="single" w:color="D4C9B8" w:sz="1"/>
              <w:left w:val="single" w:color="D4C9B8" w:sz="1"/>
              <w:bottom w:val="single" w:color="D4C9B8" w:sz="1"/>
              <w:right w:val="single" w:color="D4C9B8" w:sz="1"/>
            </w:tcBorders>
            <w:shd w:fill="1A1814"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Hito</w:t>
            </w:r>
          </w:p>
        </w:tc>
        <w:tc>
          <w:tcPr>
            <w:tcW w:type="dxa" w:w="1800"/>
            <w:gridSpan w:val="1"/>
            <w:tcBorders>
              <w:top w:val="single" w:color="D4C9B8" w:sz="1"/>
              <w:left w:val="single" w:color="D4C9B8" w:sz="1"/>
              <w:bottom w:val="single" w:color="D4C9B8" w:sz="1"/>
              <w:right w:val="single" w:color="D4C9B8" w:sz="1"/>
            </w:tcBorders>
            <w:shd w:fill="1A1814"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Nombre</w:t>
            </w:r>
          </w:p>
        </w:tc>
        <w:tc>
          <w:tcPr>
            <w:tcW w:type="dxa" w:w="2880"/>
            <w:gridSpan w:val="1"/>
            <w:tcBorders>
              <w:top w:val="single" w:color="D4C9B8" w:sz="1"/>
              <w:left w:val="single" w:color="D4C9B8" w:sz="1"/>
              <w:bottom w:val="single" w:color="D4C9B8" w:sz="1"/>
              <w:right w:val="single" w:color="D4C9B8" w:sz="1"/>
            </w:tcBorders>
            <w:shd w:fill="1A1814"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Qué mide</w:t>
            </w:r>
          </w:p>
        </w:tc>
        <w:tc>
          <w:tcPr>
            <w:tcW w:type="dxa" w:w="1960"/>
            <w:gridSpan w:val="1"/>
            <w:tcBorders>
              <w:top w:val="single" w:color="D4C9B8" w:sz="1"/>
              <w:left w:val="single" w:color="D4C9B8" w:sz="1"/>
              <w:bottom w:val="single" w:color="D4C9B8" w:sz="1"/>
              <w:right w:val="single" w:color="D4C9B8" w:sz="1"/>
            </w:tcBorders>
            <w:shd w:fill="1A1814"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Umbral OK</w:t>
            </w:r>
          </w:p>
        </w:tc>
        <w:tc>
          <w:tcPr>
            <w:tcW w:type="dxa" w:w="1920"/>
            <w:gridSpan w:val="1"/>
            <w:tcBorders>
              <w:top w:val="single" w:color="D4C9B8" w:sz="1"/>
              <w:left w:val="single" w:color="D4C9B8" w:sz="1"/>
              <w:bottom w:val="single" w:color="D4C9B8" w:sz="1"/>
              <w:right w:val="single" w:color="D4C9B8" w:sz="1"/>
            </w:tcBorders>
            <w:shd w:fill="1A1814"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Umbral KO</w:t>
            </w:r>
          </w:p>
        </w:tc>
      </w:tr>
      <w:tr>
        <w:tc>
          <w:tcPr>
            <w:tcW w:type="dxa" w:w="80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bCs/>
                <w:i w:val="false"/>
                <w:iCs w:val="false"/>
                <w:color w:val="2D6A4F"/>
                <w:sz w:val="20"/>
                <w:szCs w:val="20"/>
              </w:rPr>
              <w:t xml:space="preserve">VAL-01</w:t>
            </w:r>
          </w:p>
        </w:tc>
        <w:tc>
          <w:tcPr>
            <w:tcW w:type="dxa" w:w="180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Rentabilidad del negocio maduro</w:t>
            </w:r>
          </w:p>
        </w:tc>
        <w:tc>
          <w:tcPr>
            <w:tcW w:type="dxa" w:w="288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ROIC excluyendo activos en construcción del denominador. Mide la rentabilidad real del negocio ya operativo, no la media deprimida por capital inmovilizado.</w:t>
            </w:r>
          </w:p>
        </w:tc>
        <w:tc>
          <w:tcPr>
            <w:tcW w:type="dxa" w:w="196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2D6A4F"/>
                <w:sz w:val="20"/>
                <w:szCs w:val="20"/>
              </w:rPr>
              <w:t xml:space="preserve">Refuerza la tesis de re-rating si supera el umbral objetivo.</w:t>
            </w:r>
          </w:p>
        </w:tc>
        <w:tc>
          <w:tcPr>
            <w:tcW w:type="dxa" w:w="192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B5440E"/>
                <w:sz w:val="20"/>
                <w:szCs w:val="20"/>
              </w:rPr>
              <w:t xml:space="preserve">Por debajo del umbral mínimo con activos plenos → revisar supuestos.</w:t>
            </w:r>
          </w:p>
        </w:tc>
      </w:tr>
      <w:tr>
        <w:tc>
          <w:tcPr>
            <w:tcW w:type="dxa" w:w="80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bCs/>
                <w:i w:val="false"/>
                <w:iCs w:val="false"/>
                <w:color w:val="C9922A"/>
                <w:sz w:val="20"/>
                <w:szCs w:val="20"/>
              </w:rPr>
              <w:t xml:space="preserve">VAL-02</w:t>
            </w:r>
          </w:p>
        </w:tc>
        <w:tc>
          <w:tcPr>
            <w:tcW w:type="dxa" w:w="180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Múltiplo forward — ¿ha iniciado re-rating?</w:t>
            </w:r>
          </w:p>
        </w:tc>
        <w:tc>
          <w:tcPr>
            <w:tcW w:type="dxa" w:w="288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EV/EBITDA forward al año siguiente. Si el mercado no ha re-rateado tras la materialización de catalizadores clave, bajar precio objetivo del escenario alcista.</w:t>
            </w:r>
          </w:p>
        </w:tc>
        <w:tc>
          <w:tcPr>
            <w:tcW w:type="dxa" w:w="196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2D6A4F"/>
                <w:sz w:val="20"/>
                <w:szCs w:val="20"/>
              </w:rPr>
              <w:t xml:space="preserve">Re-rating en marcha si múltiplo supera umbral.</w:t>
            </w:r>
          </w:p>
        </w:tc>
        <w:tc>
          <w:tcPr>
            <w:tcW w:type="dxa" w:w="192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B5440E"/>
                <w:sz w:val="20"/>
                <w:szCs w:val="20"/>
              </w:rPr>
              <w:t xml:space="preserve">Mantener múltiplo deprimido → revisar precio objetivo alcista.</w:t>
            </w:r>
          </w:p>
        </w:tc>
      </w:tr>
      <w:tr>
        <w:tc>
          <w:tcPr>
            <w:tcW w:type="dxa" w:w="80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bCs/>
                <w:i w:val="false"/>
                <w:iCs w:val="false"/>
                <w:color w:val="555555"/>
                <w:sz w:val="20"/>
                <w:szCs w:val="20"/>
              </w:rPr>
              <w:t xml:space="preserve">VAL-03</w:t>
            </w:r>
          </w:p>
        </w:tc>
        <w:tc>
          <w:tcPr>
            <w:tcW w:type="dxa" w:w="180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Re-rating institucional</w:t>
            </w:r>
          </w:p>
        </w:tc>
        <w:tc>
          <w:tcPr>
            <w:tcW w:type="dxa" w:w="288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Primer analista de sell-side que justifica múltiplo superior al umbral objetivo o eleva precio objetivo por encima del escenario base. Precede al precio, no lo sigue.</w:t>
            </w:r>
          </w:p>
        </w:tc>
        <w:tc>
          <w:tcPr>
            <w:tcW w:type="dxa" w:w="196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2D6A4F"/>
                <w:sz w:val="20"/>
                <w:szCs w:val="20"/>
              </w:rPr>
              <w:t xml:space="preserve">Primera elevación de PT por encima del umbral = señal de re-rating próximo.</w:t>
            </w:r>
          </w:p>
        </w:tc>
        <w:tc>
          <w:tcPr>
            <w:tcW w:type="dxa" w:w="192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B5440E"/>
                <w:sz w:val="20"/>
                <w:szCs w:val="20"/>
              </w:rPr>
              <w:t xml:space="preserve">Ningún analista eleva PT tras materialización de catalizador → mercado no reconoce el valor.</w:t>
            </w:r>
          </w:p>
        </w:tc>
      </w:tr>
    </w:tbl>
    <w:p>
      <w:pPr>
        <w:spacing w:before="0" w:after="200"/>
        <w:jc w:val="left"/>
      </w:pPr>
    </w:p>
    <w:p>
      <w:pPr>
        <w:pStyle w:val="Heading2"/>
        <w:spacing w:before="320" w:after="140"/>
      </w:pPr>
      <w:r>
        <w:rPr>
          <w:rFonts w:ascii="Arial" w:cs="Arial" w:eastAsia="Arial" w:hAnsi="Arial"/>
          <w:b/>
          <w:bCs/>
          <w:color w:val="2C2C2C"/>
          <w:sz w:val="26"/>
          <w:szCs w:val="26"/>
        </w:rPr>
        <w:t xml:space="preserve">3.4  Sistema de señales débiles — VAL-04</w:t>
      </w:r>
    </w:p>
    <w:p>
      <w:pPr>
        <w:spacing w:before="0" w:after="160"/>
        <w:jc w:val="left"/>
      </w:pPr>
      <w:r>
        <w:rPr>
          <w:rFonts w:ascii="Arial" w:cs="Arial" w:eastAsia="Arial" w:hAnsi="Arial"/>
          <w:b w:val="false"/>
          <w:bCs w:val="false"/>
          <w:i w:val="false"/>
          <w:iCs w:val="false"/>
          <w:color w:val="1A1814"/>
          <w:sz w:val="22"/>
          <w:szCs w:val="22"/>
        </w:rPr>
        <w:t xml:space="preserve">Las fisuras silenciosas no activan hitos individuales — se acumulan. El sistema VAL-04 agrega señales débiles en una ventana de 90 días. Cuando el score supera el umbral de activación, no genera una alerta de precio: genera una obligación de proceso.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c>
          <w:tcPr>
            <w:tcW w:type="dxa" w:w="3600"/>
            <w:gridSpan w:val="1"/>
            <w:tcBorders>
              <w:top w:val="single" w:color="D4C9B8" w:sz="1"/>
              <w:left w:val="single" w:color="D4C9B8" w:sz="1"/>
              <w:bottom w:val="single" w:color="D4C9B8" w:sz="1"/>
              <w:right w:val="single" w:color="D4C9B8" w:sz="1"/>
            </w:tcBorders>
            <w:shd w:fill="1A1814"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Señal</w:t>
            </w:r>
          </w:p>
        </w:tc>
        <w:tc>
          <w:tcPr>
            <w:tcW w:type="dxa" w:w="1200"/>
            <w:gridSpan w:val="1"/>
            <w:tcBorders>
              <w:top w:val="single" w:color="D4C9B8" w:sz="1"/>
              <w:left w:val="single" w:color="D4C9B8" w:sz="1"/>
              <w:bottom w:val="single" w:color="D4C9B8" w:sz="1"/>
              <w:right w:val="single" w:color="D4C9B8" w:sz="1"/>
            </w:tcBorders>
            <w:shd w:fill="1A1814"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Peso</w:t>
            </w:r>
          </w:p>
        </w:tc>
        <w:tc>
          <w:tcPr>
            <w:tcW w:type="dxa" w:w="4560"/>
            <w:gridSpan w:val="1"/>
            <w:tcBorders>
              <w:top w:val="single" w:color="D4C9B8" w:sz="1"/>
              <w:left w:val="single" w:color="D4C9B8" w:sz="1"/>
              <w:bottom w:val="single" w:color="D4C9B8" w:sz="1"/>
              <w:right w:val="single" w:color="D4C9B8" w:sz="1"/>
            </w:tcBorders>
            <w:shd w:fill="1A1814"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Fuente de verificación</w:t>
            </w:r>
          </w:p>
        </w:tc>
      </w:tr>
      <w:tr>
        <w:tc>
          <w:tcPr>
            <w:tcW w:type="dxa" w:w="360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Utilización del activo principal &lt; umbral mínimo durante dos trimestres consecutivos</w:t>
            </w:r>
          </w:p>
        </w:tc>
        <w:tc>
          <w:tcPr>
            <w:tcW w:type="dxa" w:w="120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bCs/>
                <w:i w:val="false"/>
                <w:iCs w:val="false"/>
                <w:color w:val="B5440E"/>
                <w:sz w:val="20"/>
                <w:szCs w:val="20"/>
              </w:rPr>
              <w:t xml:space="preserve">+2</w:t>
            </w:r>
          </w:p>
        </w:tc>
        <w:tc>
          <w:tcPr>
            <w:tcW w:type="dxa" w:w="456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6-K trimestrales / earnings call</w:t>
            </w:r>
          </w:p>
        </w:tc>
      </w:tr>
      <w:tr>
        <w:tc>
          <w:tcPr>
            <w:tcW w:type="dxa" w:w="360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Delay o rescheduling en proyecto de construcción crítico</w:t>
            </w:r>
          </w:p>
        </w:tc>
        <w:tc>
          <w:tcPr>
            <w:tcW w:type="dxa" w:w="120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bCs/>
                <w:i w:val="false"/>
                <w:iCs w:val="false"/>
                <w:color w:val="B5440E"/>
                <w:sz w:val="20"/>
                <w:szCs w:val="20"/>
              </w:rPr>
              <w:t xml:space="preserve">+2</w:t>
            </w:r>
          </w:p>
        </w:tc>
        <w:tc>
          <w:tcPr>
            <w:tcW w:type="dxa" w:w="456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IR releases / comunicados de astillero o contratista</w:t>
            </w:r>
          </w:p>
        </w:tc>
      </w:tr>
      <w:tr>
        <w:tc>
          <w:tcPr>
            <w:tcW w:type="dxa" w:w="360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Guidance revisado a la baja en earnings</w:t>
            </w:r>
          </w:p>
        </w:tc>
        <w:tc>
          <w:tcPr>
            <w:tcW w:type="dxa" w:w="120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bCs/>
                <w:i w:val="false"/>
                <w:iCs w:val="false"/>
                <w:color w:val="B5440E"/>
                <w:sz w:val="20"/>
                <w:szCs w:val="20"/>
              </w:rPr>
              <w:t xml:space="preserve">+2</w:t>
            </w:r>
          </w:p>
        </w:tc>
        <w:tc>
          <w:tcPr>
            <w:tcW w:type="dxa" w:w="456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Earnings call transcript</w:t>
            </w:r>
          </w:p>
        </w:tc>
      </w:tr>
      <w:tr>
        <w:tc>
          <w:tcPr>
            <w:tcW w:type="dxa" w:w="360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Caída &gt; 15% en 30 días sin macro que la explique (vs. índice sectorial)</w:t>
            </w:r>
          </w:p>
        </w:tc>
        <w:tc>
          <w:tcPr>
            <w:tcW w:type="dxa" w:w="120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bCs/>
                <w:i w:val="false"/>
                <w:iCs w:val="false"/>
                <w:color w:val="C9922A"/>
                <w:sz w:val="20"/>
                <w:szCs w:val="20"/>
              </w:rPr>
              <w:t xml:space="preserve">+1</w:t>
            </w:r>
          </w:p>
        </w:tc>
        <w:tc>
          <w:tcPr>
            <w:tcW w:type="dxa" w:w="456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Precio vs. ETF sectorial de referencia</w:t>
            </w:r>
          </w:p>
        </w:tc>
      </w:tr>
      <w:tr>
        <w:tc>
          <w:tcPr>
            <w:tcW w:type="dxa" w:w="360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Reducción de precio objetivo por banco cubridor sin cambio en fundamentales</w:t>
            </w:r>
          </w:p>
        </w:tc>
        <w:tc>
          <w:tcPr>
            <w:tcW w:type="dxa" w:w="120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bCs/>
                <w:i w:val="false"/>
                <w:iCs w:val="false"/>
                <w:color w:val="C9922A"/>
                <w:sz w:val="20"/>
                <w:szCs w:val="20"/>
              </w:rPr>
              <w:t xml:space="preserve">+1</w:t>
            </w:r>
          </w:p>
        </w:tc>
        <w:tc>
          <w:tcPr>
            <w:tcW w:type="dxa" w:w="456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Research reports / Bloomberg / Reuters</w:t>
            </w:r>
          </w:p>
        </w:tc>
      </w:tr>
      <w:tr>
        <w:tc>
          <w:tcPr>
            <w:tcW w:type="dxa" w:w="360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Reducción de posición por inversor institucional operativo (con acceso a información del negocio)</w:t>
            </w:r>
          </w:p>
        </w:tc>
        <w:tc>
          <w:tcPr>
            <w:tcW w:type="dxa" w:w="120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bCs/>
                <w:i w:val="false"/>
                <w:iCs w:val="false"/>
                <w:color w:val="B5440E"/>
                <w:sz w:val="20"/>
                <w:szCs w:val="20"/>
              </w:rPr>
              <w:t xml:space="preserve">+2</w:t>
            </w:r>
          </w:p>
        </w:tc>
        <w:tc>
          <w:tcPr>
            <w:tcW w:type="dxa" w:w="456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SEC 13D / 13F trimestral</w:t>
            </w:r>
          </w:p>
        </w:tc>
      </w:tr>
      <w:tr>
        <w:tc>
          <w:tcPr>
            <w:tcW w:type="dxa" w:w="360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Señales de estrés financiero en proveedor o contratista crítico</w:t>
            </w:r>
          </w:p>
        </w:tc>
        <w:tc>
          <w:tcPr>
            <w:tcW w:type="dxa" w:w="120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bCs/>
                <w:i w:val="false"/>
                <w:iCs w:val="false"/>
                <w:color w:val="B5440E"/>
                <w:sz w:val="20"/>
                <w:szCs w:val="20"/>
              </w:rPr>
              <w:t xml:space="preserve">+3</w:t>
            </w:r>
          </w:p>
        </w:tc>
        <w:tc>
          <w:tcPr>
            <w:tcW w:type="dxa" w:w="456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Reuters / Bloomberg / filings del proveedor</w:t>
            </w:r>
          </w:p>
        </w:tc>
      </w:tr>
      <w:tr>
        <w:tc>
          <w:tcPr>
            <w:tcW w:type="dxa" w:w="3600"/>
            <w:gridSpan w:val="2"/>
            <w:tcBorders>
              <w:top w:val="single" w:color="D4C9B8" w:sz="1"/>
              <w:left w:val="single" w:color="D4C9B8" w:sz="1"/>
              <w:bottom w:val="single" w:color="D4C9B8" w:sz="1"/>
              <w:right w:val="single" w:color="D4C9B8" w:sz="1"/>
            </w:tcBorders>
            <w:shd w:fill="1A1814" w:val="clear"/>
            <w:tcMar>
              <w:top w:type="dxa" w:w="100"/>
              <w:left w:type="dxa" w:w="140"/>
              <w:bottom w:type="dxa" w:w="100"/>
              <w:right w:type="dxa" w:w="140"/>
            </w:tcMar>
          </w:tcPr>
          <w:p>
            <w:pPr>
              <w:jc w:val="left"/>
            </w:pPr>
            <w:r>
              <w:rPr>
                <w:rFonts w:ascii="Arial" w:cs="Arial" w:eastAsia="Arial" w:hAnsi="Arial"/>
                <w:b/>
                <w:bCs/>
                <w:color w:val="FFFFFF"/>
                <w:sz w:val="18"/>
                <w:szCs w:val="18"/>
              </w:rPr>
              <w:t xml:space="preserve">Score máximo: 13  ·  Umbral de activación: 5 puntos  ·  Ventana: 90 días móviles</w:t>
            </w:r>
          </w:p>
        </w:tc>
        <w:tc>
          <w:tcPr>
            <w:tcW w:type="dxa" w:w="4560"/>
            <w:gridSpan w:val="1"/>
            <w:tcBorders>
              <w:top w:val="single" w:color="D4C9B8" w:sz="1"/>
              <w:left w:val="single" w:color="D4C9B8" w:sz="1"/>
              <w:bottom w:val="single" w:color="D4C9B8" w:sz="1"/>
              <w:right w:val="single" w:color="D4C9B8" w:sz="1"/>
            </w:tcBorders>
            <w:shd w:fill="1A1814"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AAAAAA"/>
                <w:sz w:val="20"/>
                <w:szCs w:val="20"/>
              </w:rPr>
              <w:t xml:space="preserve">Señales recurrentes en ventana siguiente: peso × 1.5×</w:t>
            </w:r>
          </w:p>
        </w:tc>
      </w:tr>
    </w:tbl>
    <w:p>
      <w:pPr>
        <w:spacing w:before="0" w:after="160"/>
        <w:jc w:val="left"/>
      </w:pPr>
    </w:p>
    <w:p>
      <w:pPr>
        <w:spacing w:before="0" w:after="80"/>
        <w:jc w:val="left"/>
      </w:pPr>
      <w:r>
        <w:rPr>
          <w:rFonts w:ascii="Arial" w:cs="Arial" w:eastAsia="Arial" w:hAnsi="Arial"/>
          <w:b/>
          <w:bCs/>
          <w:i w:val="false"/>
          <w:iCs w:val="false"/>
          <w:color w:val="1A1814"/>
          <w:sz w:val="22"/>
          <w:szCs w:val="22"/>
        </w:rPr>
        <w:t xml:space="preserve">Cuando el score alcanza 5, el protocolo obligatorio es:</w:t>
      </w:r>
    </w:p>
    <w:p>
      <w:pPr>
        <w:pStyle w:val="ListParagraph"/>
        <w:numPr>
          <w:ilvl w:val="0"/>
          <w:numId w:val="2"/>
        </w:numPr>
        <w:spacing w:before="60" w:after="60"/>
      </w:pPr>
      <w:r>
        <w:rPr>
          <w:rFonts w:ascii="Arial" w:cs="Arial" w:eastAsia="Arial" w:hAnsi="Arial"/>
          <w:b w:val="false"/>
          <w:bCs w:val="false"/>
          <w:i w:val="false"/>
          <w:iCs w:val="false"/>
          <w:color w:val="1A1814"/>
          <w:sz w:val="22"/>
          <w:szCs w:val="22"/>
        </w:rPr>
        <w:t xml:space="preserve">Redactar un memo de 200 palabras respondiendo: </w:t>
      </w:r>
      <w:r>
        <w:rPr>
          <w:rFonts w:ascii="Arial" w:cs="Arial" w:eastAsia="Arial" w:hAnsi="Arial"/>
          <w:b w:val="false"/>
          <w:bCs w:val="false"/>
          <w:i/>
          <w:iCs/>
          <w:color w:val="1A1814"/>
          <w:sz w:val="22"/>
          <w:szCs w:val="22"/>
        </w:rPr>
        <w:t xml:space="preserve">¿Qué tendría que ser cierto para que mantener sea la decisión correcta?</w:t>
      </w:r>
      <w:r>
        <w:rPr>
          <w:rFonts w:ascii="Arial" w:cs="Arial" w:eastAsia="Arial" w:hAnsi="Arial"/>
          <w:b w:val="false"/>
          <w:bCs w:val="false"/>
          <w:i w:val="false"/>
          <w:iCs w:val="false"/>
          <w:color w:val="1A1814"/>
          <w:sz w:val="22"/>
          <w:szCs w:val="22"/>
        </w:rPr>
        <w:t xml:space="preserve"> — por escrito, con fecha.</w:t>
      </w:r>
    </w:p>
    <w:p>
      <w:pPr>
        <w:pStyle w:val="ListParagraph"/>
        <w:numPr>
          <w:ilvl w:val="0"/>
          <w:numId w:val="2"/>
        </w:numPr>
        <w:spacing w:before="60" w:after="60"/>
      </w:pPr>
      <w:r>
        <w:rPr>
          <w:rFonts w:ascii="Arial" w:cs="Arial" w:eastAsia="Arial" w:hAnsi="Arial"/>
          <w:b w:val="false"/>
          <w:bCs w:val="false"/>
          <w:i w:val="false"/>
          <w:iCs w:val="false"/>
          <w:color w:val="1A1814"/>
          <w:sz w:val="22"/>
          <w:szCs w:val="22"/>
        </w:rPr>
        <w:t xml:space="preserve">Compartir el memo con un árbitro externo sin exposición económica al resultado.</w:t>
      </w:r>
    </w:p>
    <w:p>
      <w:pPr>
        <w:pStyle w:val="ListParagraph"/>
        <w:numPr>
          <w:ilvl w:val="0"/>
          <w:numId w:val="2"/>
        </w:numPr>
        <w:spacing w:before="60" w:after="60"/>
      </w:pPr>
      <w:r>
        <w:rPr>
          <w:rFonts w:ascii="Arial" w:cs="Arial" w:eastAsia="Arial" w:hAnsi="Arial"/>
          <w:b w:val="false"/>
          <w:bCs w:val="false"/>
          <w:i w:val="false"/>
          <w:iCs w:val="false"/>
          <w:color w:val="1A1814"/>
          <w:sz w:val="22"/>
          <w:szCs w:val="22"/>
        </w:rPr>
        <w:t xml:space="preserve">Tomar una decisión explícita en 7 días: mantener / reducir / salir. No decidir se registra como </w:t>
      </w:r>
      <w:r>
        <w:rPr>
          <w:rFonts w:ascii="Arial" w:cs="Arial" w:eastAsia="Arial" w:hAnsi="Arial"/>
          <w:b/>
          <w:bCs/>
          <w:i/>
          <w:iCs/>
          <w:color w:val="1A1814"/>
          <w:sz w:val="22"/>
          <w:szCs w:val="22"/>
        </w:rPr>
        <w:t xml:space="preserve">mantener por inercia</w:t>
      </w:r>
      <w:r>
        <w:rPr>
          <w:rFonts w:ascii="Arial" w:cs="Arial" w:eastAsia="Arial" w:hAnsi="Arial"/>
          <w:b w:val="false"/>
          <w:bCs w:val="false"/>
          <w:i w:val="false"/>
          <w:iCs w:val="false"/>
          <w:color w:val="1A1814"/>
          <w:sz w:val="22"/>
          <w:szCs w:val="22"/>
        </w:rPr>
        <w:t xml:space="preserve">.</w:t>
      </w:r>
    </w:p>
    <w:p>
      <w:pPr>
        <w:pStyle w:val="ListParagraph"/>
        <w:numPr>
          <w:ilvl w:val="0"/>
          <w:numId w:val="2"/>
        </w:numPr>
        <w:spacing w:before="60" w:after="200"/>
      </w:pPr>
      <w:r>
        <w:rPr>
          <w:rFonts w:ascii="Arial" w:cs="Arial" w:eastAsia="Arial" w:hAnsi="Arial"/>
          <w:b w:val="false"/>
          <w:bCs w:val="false"/>
          <w:i w:val="false"/>
          <w:iCs w:val="false"/>
          <w:color w:val="1A1814"/>
          <w:sz w:val="22"/>
          <w:szCs w:val="22"/>
        </w:rPr>
        <w:t xml:space="preserve">Reset del score. Señales recurrentes en la siguiente ventana multiplican su peso por 1.5×.</w:t>
      </w:r>
    </w:p>
    <w:p>
      <w:pPr>
        <w:pBdr>
          <w:bottom w:val="single" w:color="D4C9B8" w:sz="4" w:space="1"/>
        </w:pBdr>
        <w:spacing w:before="200" w:after="200"/>
      </w:pPr>
      <w:r>
        <w:rPr>
          <w:rFonts w:ascii="Arial" w:cs="Arial" w:eastAsia="Arial" w:hAnsi="Arial"/>
        </w:rPr>
        <w:t xml:space="preserve"/>
      </w:r>
    </w:p>
    <w:p>
      <w:pPr>
        <w:pStyle w:val="Heading1"/>
        <w:pBdr>
          <w:bottom w:val="single" w:color="B5440E" w:sz="6" w:space="6"/>
        </w:pBdr>
        <w:spacing w:before="400" w:after="200"/>
      </w:pPr>
      <w:r>
        <w:rPr>
          <w:rFonts w:ascii="Arial" w:cs="Arial" w:eastAsia="Arial" w:hAnsi="Arial"/>
          <w:b/>
          <w:bCs/>
          <w:color w:val="1A1814"/>
          <w:sz w:val="36"/>
          <w:szCs w:val="36"/>
        </w:rPr>
        <w:t xml:space="preserve">Parte IV — Análisis de manos fuertes institucionales</w:t>
      </w:r>
    </w:p>
    <w:p>
      <w:pPr>
        <w:pStyle w:val="Heading2"/>
        <w:spacing w:before="320" w:after="140"/>
      </w:pPr>
      <w:r>
        <w:rPr>
          <w:rFonts w:ascii="Arial" w:cs="Arial" w:eastAsia="Arial" w:hAnsi="Arial"/>
          <w:b/>
          <w:bCs/>
          <w:color w:val="2C2C2C"/>
          <w:sz w:val="26"/>
          <w:szCs w:val="26"/>
        </w:rPr>
        <w:t xml:space="preserve">4.1  Por qué importa la estructura de los institucionales</w:t>
      </w:r>
    </w:p>
    <w:p>
      <w:pPr>
        <w:spacing w:before="0" w:after="160"/>
        <w:jc w:val="left"/>
      </w:pPr>
      <w:r>
        <w:rPr>
          <w:rFonts w:ascii="Arial" w:cs="Arial" w:eastAsia="Arial" w:hAnsi="Arial"/>
          <w:b w:val="false"/>
          <w:bCs w:val="false"/>
          <w:i w:val="false"/>
          <w:iCs w:val="false"/>
          <w:color w:val="1A1814"/>
          <w:sz w:val="22"/>
          <w:szCs w:val="22"/>
        </w:rPr>
        <w:t xml:space="preserve">Las posiciones institucionales no son señales equivalentes. Cada tipo de inversor responde a una pregunta distinta sobre la tesis. Tratarlos como un bloque homogéneo es el error más común en el análisis de flujos institucionales.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560"/>
        <w:gridCol w:w="3400"/>
      </w:tblGrid>
      <w:tr>
        <w:tc>
          <w:tcPr>
            <w:tcW w:type="dxa" w:w="1600"/>
            <w:gridSpan w:val="1"/>
            <w:tcBorders>
              <w:top w:val="single" w:color="D4C9B8" w:sz="1"/>
              <w:left w:val="single" w:color="D4C9B8" w:sz="1"/>
              <w:bottom w:val="single" w:color="D4C9B8" w:sz="1"/>
              <w:right w:val="single" w:color="D4C9B8" w:sz="1"/>
            </w:tcBorders>
            <w:shd w:fill="1A1814"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Tipo</w:t>
            </w:r>
          </w:p>
        </w:tc>
        <w:tc>
          <w:tcPr>
            <w:tcW w:type="dxa" w:w="1800"/>
            <w:gridSpan w:val="1"/>
            <w:tcBorders>
              <w:top w:val="single" w:color="D4C9B8" w:sz="1"/>
              <w:left w:val="single" w:color="D4C9B8" w:sz="1"/>
              <w:bottom w:val="single" w:color="D4C9B8" w:sz="1"/>
              <w:right w:val="single" w:color="D4C9B8" w:sz="1"/>
            </w:tcBorders>
            <w:shd w:fill="1A1814"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Pregunta que responde</w:t>
            </w:r>
          </w:p>
        </w:tc>
        <w:tc>
          <w:tcPr>
            <w:tcW w:type="dxa" w:w="2560"/>
            <w:gridSpan w:val="1"/>
            <w:tcBorders>
              <w:top w:val="single" w:color="D4C9B8" w:sz="1"/>
              <w:left w:val="single" w:color="D4C9B8" w:sz="1"/>
              <w:bottom w:val="single" w:color="D4C9B8" w:sz="1"/>
              <w:right w:val="single" w:color="D4C9B8" w:sz="1"/>
            </w:tcBorders>
            <w:shd w:fill="1A1814"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Señal de alerta</w:t>
            </w:r>
          </w:p>
        </w:tc>
        <w:tc>
          <w:tcPr>
            <w:tcW w:type="dxa" w:w="3400"/>
            <w:gridSpan w:val="1"/>
            <w:tcBorders>
              <w:top w:val="single" w:color="D4C9B8" w:sz="1"/>
              <w:left w:val="single" w:color="D4C9B8" w:sz="1"/>
              <w:bottom w:val="single" w:color="D4C9B8" w:sz="1"/>
              <w:right w:val="single" w:color="D4C9B8" w:sz="1"/>
            </w:tcBorders>
            <w:shd w:fill="1A1814"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Falso negativo conocido</w:t>
            </w:r>
          </w:p>
        </w:tc>
      </w:tr>
      <w:tr>
        <w:tc>
          <w:tcPr>
            <w:tcW w:type="dxa" w:w="160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bCs/>
                <w:i w:val="false"/>
                <w:iCs w:val="false"/>
                <w:color w:val="B5440E"/>
                <w:sz w:val="20"/>
                <w:szCs w:val="20"/>
              </w:rPr>
              <w:t xml:space="preserve">Operativo
(acceso al negocio)</w:t>
            </w:r>
          </w:p>
        </w:tc>
        <w:tc>
          <w:tcPr>
            <w:tcW w:type="dxa" w:w="180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¿Está el negocio funcionando como los contratos dicen?</w:t>
            </w:r>
          </w:p>
        </w:tc>
        <w:tc>
          <w:tcPr>
            <w:tcW w:type="dxa" w:w="256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Cualquier reducción, sin importar el contexto. Alerta inmediata.</w:t>
            </w:r>
          </w:p>
        </w:tc>
        <w:tc>
          <w:tcPr>
            <w:tcW w:type="dxa" w:w="340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Muy pocos. Este inversor tiene la mejor información del sistema y no tiene incentivos para salir si el negocio está bien.</w:t>
            </w:r>
          </w:p>
        </w:tc>
      </w:tr>
      <w:tr>
        <w:tc>
          <w:tcPr>
            <w:tcW w:type="dxa" w:w="160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bCs/>
                <w:i w:val="false"/>
                <w:iCs w:val="false"/>
                <w:color w:val="C9922A"/>
                <w:sz w:val="20"/>
                <w:szCs w:val="20"/>
              </w:rPr>
              <w:t xml:space="preserve">Re-rating
(tesis de múltiplo)</w:t>
            </w:r>
          </w:p>
        </w:tc>
        <w:tc>
          <w:tcPr>
            <w:tcW w:type="dxa" w:w="180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¿Llegará el re-rating en el timing previsto?</w:t>
            </w:r>
          </w:p>
        </w:tc>
        <w:tc>
          <w:tcPr>
            <w:tcW w:type="dxa" w:w="256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Reducción antes de catalizador clave sin subida de precio previa.</w:t>
            </w:r>
          </w:p>
        </w:tc>
        <w:tc>
          <w:tcPr>
            <w:tcW w:type="dxa" w:w="340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Reducción post-catalizador puede ser toma de beneficios táctica. Leer en contexto del calendario de catalizadores.</w:t>
            </w:r>
          </w:p>
        </w:tc>
      </w:tr>
      <w:tr>
        <w:tc>
          <w:tcPr>
            <w:tcW w:type="dxa" w:w="160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bCs/>
                <w:i w:val="false"/>
                <w:iCs w:val="false"/>
                <w:color w:val="2D6A4F"/>
                <w:sz w:val="20"/>
                <w:szCs w:val="20"/>
              </w:rPr>
              <w:t xml:space="preserve">Valor intrínseco
(DCF largo plazo)</w:t>
            </w:r>
          </w:p>
        </w:tc>
        <w:tc>
          <w:tcPr>
            <w:tcW w:type="dxa" w:w="180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¿Aguanta el DCF de largo plazo?</w:t>
            </w:r>
          </w:p>
        </w:tc>
        <w:tc>
          <w:tcPr>
            <w:tcW w:type="dxa" w:w="256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Reducción con carta trimestral que revisa valoración a la baja.</w:t>
            </w:r>
          </w:p>
        </w:tc>
        <w:tc>
          <w:tcPr>
            <w:tcW w:type="dxa" w:w="340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Reducción con carta que mantiene convicción = profit-taking desde plusvalía elevada. Leer siempre la carta antes que el 13F.</w:t>
            </w:r>
          </w:p>
        </w:tc>
      </w:tr>
    </w:tbl>
    <w:p>
      <w:pPr>
        <w:spacing w:before="0" w:after="200"/>
        <w:jc w:val="left"/>
      </w:pPr>
    </w:p>
    <w:p>
      <w:pPr>
        <w:pStyle w:val="Heading2"/>
        <w:spacing w:before="320" w:after="140"/>
      </w:pPr>
      <w:r>
        <w:rPr>
          <w:rFonts w:ascii="Arial" w:cs="Arial" w:eastAsia="Arial" w:hAnsi="Arial"/>
          <w:b/>
          <w:bCs/>
          <w:color w:val="2C2C2C"/>
          <w:sz w:val="26"/>
          <w:szCs w:val="26"/>
        </w:rPr>
        <w:t xml:space="preserve">4.2  El efecto plusvalía latente — sesgo del análisis institucional</w:t>
      </w:r>
    </w:p>
    <w:p>
      <w:pPr>
        <w:spacing w:before="0" w:after="160"/>
        <w:jc w:val="left"/>
      </w:pPr>
      <w:r>
        <w:rPr>
          <w:rFonts w:ascii="Arial" w:cs="Arial" w:eastAsia="Arial" w:hAnsi="Arial"/>
          <w:b w:val="false"/>
          <w:bCs w:val="false"/>
          <w:i w:val="false"/>
          <w:iCs w:val="false"/>
          <w:color w:val="1A1814"/>
          <w:sz w:val="22"/>
          <w:szCs w:val="22"/>
        </w:rPr>
        <w:t xml:space="preserve">La plusvalía latente de un institucional distorsiona la interpretación de sus movimientos. Un inversor con +169% de plusvalía que </w:t>
      </w:r>
      <w:r>
        <w:rPr>
          <w:rFonts w:ascii="Arial" w:cs="Arial" w:eastAsia="Arial" w:hAnsi="Arial"/>
          <w:b/>
          <w:bCs/>
          <w:i w:val="false"/>
          <w:iCs w:val="false"/>
          <w:color w:val="1A1814"/>
          <w:sz w:val="22"/>
          <w:szCs w:val="22"/>
        </w:rPr>
        <w:t xml:space="preserve">mantiene</w:t>
      </w:r>
      <w:r>
        <w:rPr>
          <w:rFonts w:ascii="Arial" w:cs="Arial" w:eastAsia="Arial" w:hAnsi="Arial"/>
          <w:b w:val="false"/>
          <w:bCs w:val="false"/>
          <w:i w:val="false"/>
          <w:iCs w:val="false"/>
          <w:color w:val="1A1814"/>
          <w:sz w:val="22"/>
          <w:szCs w:val="22"/>
        </w:rPr>
        <w:t xml:space="preserve"> no es necesariamente una señal de convicción renovada — puede ser inercia fiscal. Un inversor con coste cercano al precio actual que </w:t>
      </w:r>
      <w:r>
        <w:rPr>
          <w:rFonts w:ascii="Arial" w:cs="Arial" w:eastAsia="Arial" w:hAnsi="Arial"/>
          <w:b/>
          <w:bCs/>
          <w:i w:val="false"/>
          <w:iCs w:val="false"/>
          <w:color w:val="1A1814"/>
          <w:sz w:val="22"/>
          <w:szCs w:val="22"/>
        </w:rPr>
        <w:t xml:space="preserve">mantiene</w:t>
      </w:r>
      <w:r>
        <w:rPr>
          <w:rFonts w:ascii="Arial" w:cs="Arial" w:eastAsia="Arial" w:hAnsi="Arial"/>
          <w:b w:val="false"/>
          <w:bCs w:val="false"/>
          <w:i w:val="false"/>
          <w:iCs w:val="false"/>
          <w:color w:val="1A1814"/>
          <w:sz w:val="22"/>
          <w:szCs w:val="22"/>
        </w:rPr>
        <w:t xml:space="preserve"> sí es convicción verificable.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80"/>
        <w:gridCol w:w="4480"/>
      </w:tblGrid>
      <w:tr>
        <w:tc>
          <w:tcPr>
            <w:tcW w:type="dxa" w:w="2400"/>
            <w:gridSpan w:val="1"/>
            <w:tcBorders>
              <w:top w:val="single" w:color="D4C9B8" w:sz="1"/>
              <w:left w:val="single" w:color="D4C9B8" w:sz="1"/>
              <w:bottom w:val="single" w:color="D4C9B8" w:sz="1"/>
              <w:right w:val="single" w:color="D4C9B8" w:sz="1"/>
            </w:tcBorders>
            <w:shd w:fill="1A1814"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Situación</w:t>
            </w:r>
          </w:p>
        </w:tc>
        <w:tc>
          <w:tcPr>
            <w:tcW w:type="dxa" w:w="2480"/>
            <w:gridSpan w:val="1"/>
            <w:tcBorders>
              <w:top w:val="single" w:color="D4C9B8" w:sz="1"/>
              <w:left w:val="single" w:color="D4C9B8" w:sz="1"/>
              <w:bottom w:val="single" w:color="D4C9B8" w:sz="1"/>
              <w:right w:val="single" w:color="D4C9B8" w:sz="1"/>
            </w:tcBorders>
            <w:shd w:fill="1A1814"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Movimiento</w:t>
            </w:r>
          </w:p>
        </w:tc>
        <w:tc>
          <w:tcPr>
            <w:tcW w:type="dxa" w:w="4480"/>
            <w:gridSpan w:val="1"/>
            <w:tcBorders>
              <w:top w:val="single" w:color="D4C9B8" w:sz="1"/>
              <w:left w:val="single" w:color="D4C9B8" w:sz="1"/>
              <w:bottom w:val="single" w:color="D4C9B8" w:sz="1"/>
              <w:right w:val="single" w:color="D4C9B8" w:sz="1"/>
            </w:tcBorders>
            <w:shd w:fill="1A1814"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Interpretación correcta</w:t>
            </w:r>
          </w:p>
        </w:tc>
      </w:tr>
      <w:tr>
        <w:tc>
          <w:tcPr>
            <w:tcW w:type="dxa" w:w="240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Coste ~ precio actual
Plusvalía mínima</w:t>
            </w:r>
          </w:p>
        </w:tc>
        <w:tc>
          <w:tcPr>
            <w:tcW w:type="dxa" w:w="248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Mantiene</w:t>
            </w:r>
          </w:p>
        </w:tc>
        <w:tc>
          <w:tcPr>
            <w:tcW w:type="dxa" w:w="448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bCs/>
                <w:i w:val="false"/>
                <w:iCs w:val="false"/>
                <w:color w:val="2D6A4F"/>
                <w:sz w:val="20"/>
                <w:szCs w:val="20"/>
              </w:rPr>
              <w:t xml:space="preserve">Convicción activa. No hay incentivo de profit-taking. La posición refleja una visión sobre el valor futuro.</w:t>
            </w:r>
          </w:p>
        </w:tc>
      </w:tr>
      <w:tr>
        <w:tc>
          <w:tcPr>
            <w:tcW w:type="dxa" w:w="240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Coste ~ precio actual
Plusvalía mínima</w:t>
            </w:r>
          </w:p>
        </w:tc>
        <w:tc>
          <w:tcPr>
            <w:tcW w:type="dxa" w:w="248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Reduce</w:t>
            </w:r>
          </w:p>
        </w:tc>
        <w:tc>
          <w:tcPr>
            <w:tcW w:type="dxa" w:w="448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bCs/>
                <w:i w:val="false"/>
                <w:iCs w:val="false"/>
                <w:color w:val="B5440E"/>
                <w:sz w:val="20"/>
                <w:szCs w:val="20"/>
              </w:rPr>
              <w:t xml:space="preserve">Señal de alerta directa. Sin ganancia que proteger, la reducción implica deterioro de convicción en el valor.</w:t>
            </w:r>
          </w:p>
        </w:tc>
      </w:tr>
      <w:tr>
        <w:tc>
          <w:tcPr>
            <w:tcW w:type="dxa" w:w="240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Coste muy inferior
Plusvalía elevada (+100%+)</w:t>
            </w:r>
          </w:p>
        </w:tc>
        <w:tc>
          <w:tcPr>
            <w:tcW w:type="dxa" w:w="248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Mantiene</w:t>
            </w:r>
          </w:p>
        </w:tc>
        <w:tc>
          <w:tcPr>
            <w:tcW w:type="dxa" w:w="448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bCs/>
                <w:i w:val="false"/>
                <w:iCs w:val="false"/>
                <w:color w:val="C9922A"/>
                <w:sz w:val="20"/>
                <w:szCs w:val="20"/>
              </w:rPr>
              <w:t xml:space="preserve">Señal ambigua. Puede ser convicción intacta, inercia fiscal, o ausencia de alternativa de reinversión clara. No interpretar sin contexto de carta / declaraciones.</w:t>
            </w:r>
          </w:p>
        </w:tc>
      </w:tr>
      <w:tr>
        <w:tc>
          <w:tcPr>
            <w:tcW w:type="dxa" w:w="240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Coste muy inferior
Plusvalía elevada (+100%+)</w:t>
            </w:r>
          </w:p>
        </w:tc>
        <w:tc>
          <w:tcPr>
            <w:tcW w:type="dxa" w:w="248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Reduce</w:t>
            </w:r>
          </w:p>
        </w:tc>
        <w:tc>
          <w:tcPr>
            <w:tcW w:type="dxa" w:w="448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bCs/>
                <w:i w:val="false"/>
                <w:iCs w:val="false"/>
                <w:color w:val="C9922A"/>
                <w:sz w:val="20"/>
                <w:szCs w:val="20"/>
              </w:rPr>
              <w:t xml:space="preserve">Señal ambigua. Puede ser deterioro de tesis o profit-taking racional. SIEMPRE leer carta trimestral o declaraciones recientes antes de interpretar como deterioro.</w:t>
            </w:r>
          </w:p>
        </w:tc>
      </w:tr>
      <w:tr>
        <w:tc>
          <w:tcPr>
            <w:tcW w:type="dxa" w:w="240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Cualquier perfil</w:t>
            </w:r>
          </w:p>
        </w:tc>
        <w:tc>
          <w:tcPr>
            <w:tcW w:type="dxa" w:w="248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Las tres manos fuertes reducen simultáneamente</w:t>
            </w:r>
          </w:p>
        </w:tc>
        <w:tc>
          <w:tcPr>
            <w:tcW w:type="dxa" w:w="448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bCs/>
                <w:i w:val="false"/>
                <w:iCs w:val="false"/>
                <w:color w:val="B5440E"/>
                <w:sz w:val="20"/>
                <w:szCs w:val="20"/>
              </w:rPr>
              <w:t xml:space="preserve">Señal de salida más potente del sistema. Supera en velocidad de detección a los hitos binarios de invalidación. Probabilidad de deterioro real es alta independientemente de la plusvalía de cada uno.</w:t>
            </w:r>
          </w:p>
        </w:tc>
      </w:tr>
    </w:tbl>
    <w:p>
      <w:pPr>
        <w:spacing w:before="0" w:after="200"/>
        <w:jc w:val="left"/>
      </w:pPr>
    </w:p>
    <w:p>
      <w:pPr>
        <w:pBdr>
          <w:bottom w:val="single" w:color="D4C9B8" w:sz="4" w:space="1"/>
        </w:pBdr>
        <w:spacing w:before="200" w:after="200"/>
      </w:pPr>
      <w:r>
        <w:rPr>
          <w:rFonts w:ascii="Arial" w:cs="Arial" w:eastAsia="Arial" w:hAnsi="Arial"/>
        </w:rPr>
        <w:t xml:space="preserve"/>
      </w:r>
    </w:p>
    <w:p>
      <w:pPr>
        <w:pStyle w:val="Heading1"/>
        <w:pBdr>
          <w:bottom w:val="single" w:color="B5440E" w:sz="6" w:space="6"/>
        </w:pBdr>
        <w:spacing w:before="400" w:after="200"/>
      </w:pPr>
      <w:r>
        <w:rPr>
          <w:rFonts w:ascii="Arial" w:cs="Arial" w:eastAsia="Arial" w:hAnsi="Arial"/>
          <w:b/>
          <w:bCs/>
          <w:color w:val="1A1814"/>
          <w:sz w:val="36"/>
          <w:szCs w:val="36"/>
        </w:rPr>
        <w:t xml:space="preserve">Parte V — Protocolo de revisión trimestral</w:t>
      </w:r>
    </w:p>
    <w:p>
      <w:pPr>
        <w:pStyle w:val="Heading2"/>
        <w:spacing w:before="320" w:after="140"/>
      </w:pPr>
      <w:r>
        <w:rPr>
          <w:rFonts w:ascii="Arial" w:cs="Arial" w:eastAsia="Arial" w:hAnsi="Arial"/>
          <w:b/>
          <w:bCs/>
          <w:color w:val="2C2C2C"/>
          <w:sz w:val="26"/>
          <w:szCs w:val="26"/>
        </w:rPr>
        <w:t xml:space="preserve">5.1  La pregunta única de detección de deterioro</w:t>
      </w:r>
    </w:p>
    <w:p>
      <w:pPr>
        <w:spacing w:before="0" w:after="160"/>
        <w:jc w:val="left"/>
      </w:pPr>
      <w:r>
        <w:rPr>
          <w:rFonts w:ascii="Arial" w:cs="Arial" w:eastAsia="Arial" w:hAnsi="Arial"/>
          <w:b w:val="false"/>
          <w:bCs w:val="false"/>
          <w:i w:val="false"/>
          <w:iCs w:val="false"/>
          <w:color w:val="1A1814"/>
          <w:sz w:val="22"/>
          <w:szCs w:val="22"/>
        </w:rPr>
        <w:t xml:space="preserve">El sistema más robusto y eficiente de detección de fisuras no es algorítmico — es una sola pregunta formulada por escrito antes de cada revisión trimestral:</w:t>
      </w:r>
    </w:p>
    <w:p>
      <w:pPr>
        <w:pBdr>
          <w:left w:val="single" w:color="B5440E" w:sz="12" w:space="12"/>
        </w:pBdr>
        <w:shd w:fill="F2EAE0" w:val="clear"/>
        <w:spacing w:before="200" w:after="200"/>
        <w:ind w:left="480"/>
      </w:pPr>
      <w:r>
        <w:rPr>
          <w:rFonts w:ascii="Arial" w:cs="Arial" w:eastAsia="Arial" w:hAnsi="Arial"/>
          <w:i/>
          <w:iCs/>
          <w:color w:val="2C2C2C"/>
          <w:sz w:val="22"/>
          <w:szCs w:val="22"/>
        </w:rPr>
        <w:t xml:space="preserve">¿Qué ha cambiado desde la última vez que revisé esta posición que yo no haya registrado en el monitor?</w:t>
      </w:r>
    </w:p>
    <w:p>
      <w:pPr>
        <w:spacing w:before="0" w:after="200"/>
        <w:jc w:val="left"/>
      </w:pPr>
      <w:r>
        <w:rPr>
          <w:rFonts w:ascii="Arial" w:cs="Arial" w:eastAsia="Arial" w:hAnsi="Arial"/>
          <w:b w:val="false"/>
          <w:bCs w:val="false"/>
          <w:i w:val="false"/>
          <w:iCs w:val="false"/>
          <w:color w:val="1A1814"/>
          <w:sz w:val="22"/>
          <w:szCs w:val="22"/>
        </w:rPr>
        <w:t xml:space="preserve">Si la respuesta tarda más de dos minutos, hay algo que registrar. Esta pregunta detecta lo que ningún script detecta: la </w:t>
      </w:r>
      <w:r>
        <w:rPr>
          <w:rFonts w:ascii="Arial" w:cs="Arial" w:eastAsia="Arial" w:hAnsi="Arial"/>
          <w:b/>
          <w:bCs/>
          <w:i/>
          <w:iCs/>
          <w:color w:val="1A1814"/>
          <w:sz w:val="22"/>
          <w:szCs w:val="22"/>
        </w:rPr>
        <w:t xml:space="preserve">ausencia</w:t>
      </w:r>
      <w:r>
        <w:rPr>
          <w:rFonts w:ascii="Arial" w:cs="Arial" w:eastAsia="Arial" w:hAnsi="Arial"/>
          <w:b w:val="false"/>
          <w:bCs w:val="false"/>
          <w:i w:val="false"/>
          <w:iCs w:val="false"/>
          <w:color w:val="1A1814"/>
          <w:sz w:val="22"/>
          <w:szCs w:val="22"/>
        </w:rPr>
        <w:t xml:space="preserve"> de algo que antes estaba — un tono, una mención, una frecuencia de comunicación.</w:t>
      </w:r>
    </w:p>
    <w:p>
      <w:pPr>
        <w:pStyle w:val="Heading2"/>
        <w:spacing w:before="320" w:after="140"/>
      </w:pPr>
      <w:r>
        <w:rPr>
          <w:rFonts w:ascii="Arial" w:cs="Arial" w:eastAsia="Arial" w:hAnsi="Arial"/>
          <w:b/>
          <w:bCs/>
          <w:color w:val="2C2C2C"/>
          <w:sz w:val="26"/>
          <w:szCs w:val="26"/>
        </w:rPr>
        <w:t xml:space="preserve">5.2  Checklist de revisión trimestral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600"/>
        <w:gridCol w:w="5200"/>
      </w:tblGrid>
      <w:tr>
        <w:tc>
          <w:tcPr>
            <w:tcW w:type="dxa" w:w="560"/>
            <w:gridSpan w:val="1"/>
            <w:tcBorders>
              <w:top w:val="single" w:color="D4C9B8" w:sz="1"/>
              <w:left w:val="single" w:color="D4C9B8" w:sz="1"/>
              <w:bottom w:val="single" w:color="D4C9B8" w:sz="1"/>
              <w:right w:val="single" w:color="D4C9B8" w:sz="1"/>
            </w:tcBorders>
            <w:shd w:fill="1A1814"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
            </w:r>
          </w:p>
        </w:tc>
        <w:tc>
          <w:tcPr>
            <w:tcW w:type="dxa" w:w="3600"/>
            <w:gridSpan w:val="1"/>
            <w:tcBorders>
              <w:top w:val="single" w:color="D4C9B8" w:sz="1"/>
              <w:left w:val="single" w:color="D4C9B8" w:sz="1"/>
              <w:bottom w:val="single" w:color="D4C9B8" w:sz="1"/>
              <w:right w:val="single" w:color="D4C9B8" w:sz="1"/>
            </w:tcBorders>
            <w:shd w:fill="1A1814"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Verificación</w:t>
            </w:r>
          </w:p>
        </w:tc>
        <w:tc>
          <w:tcPr>
            <w:tcW w:type="dxa" w:w="5200"/>
            <w:gridSpan w:val="1"/>
            <w:tcBorders>
              <w:top w:val="single" w:color="D4C9B8" w:sz="1"/>
              <w:left w:val="single" w:color="D4C9B8" w:sz="1"/>
              <w:bottom w:val="single" w:color="D4C9B8" w:sz="1"/>
              <w:right w:val="single" w:color="D4C9B8" w:sz="1"/>
            </w:tcBorders>
            <w:shd w:fill="1A1814"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Señal de alerta</w:t>
            </w:r>
          </w:p>
        </w:tc>
      </w:tr>
      <w:tr>
        <w:tc>
          <w:tcPr>
            <w:tcW w:type="dxa" w:w="56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bCs/>
                <w:i w:val="false"/>
                <w:iCs w:val="false"/>
                <w:color w:val="B5440E"/>
                <w:sz w:val="20"/>
                <w:szCs w:val="20"/>
              </w:rPr>
              <w:t xml:space="preserve">01</w:t>
            </w:r>
          </w:p>
        </w:tc>
        <w:tc>
          <w:tcPr>
            <w:tcW w:type="dxa" w:w="360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Leer carta trimestral del institucional de valor intrínseco antes de revisar 13F</w:t>
            </w:r>
          </w:p>
        </w:tc>
        <w:tc>
          <w:tcPr>
            <w:tcW w:type="dxa" w:w="520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Si la carta no menciona la posición siendo esta top 3 de cartera y habiendo sido detractora: señal débil +1</w:t>
            </w:r>
          </w:p>
        </w:tc>
      </w:tr>
      <w:tr>
        <w:tc>
          <w:tcPr>
            <w:tcW w:type="dxa" w:w="56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bCs/>
                <w:i w:val="false"/>
                <w:iCs w:val="false"/>
                <w:color w:val="B5440E"/>
                <w:sz w:val="20"/>
                <w:szCs w:val="20"/>
              </w:rPr>
              <w:t xml:space="preserve">02</w:t>
            </w:r>
          </w:p>
        </w:tc>
        <w:tc>
          <w:tcPr>
            <w:tcW w:type="dxa" w:w="360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Verificar 13F/13D del institucional operativo</w:t>
            </w:r>
          </w:p>
        </w:tc>
        <w:tc>
          <w:tcPr>
            <w:tcW w:type="dxa" w:w="520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Cualquier reducción: alerta inmediata independientemente de contexto</w:t>
            </w:r>
          </w:p>
        </w:tc>
      </w:tr>
      <w:tr>
        <w:tc>
          <w:tcPr>
            <w:tcW w:type="dxa" w:w="56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bCs/>
                <w:i w:val="false"/>
                <w:iCs w:val="false"/>
                <w:color w:val="B5440E"/>
                <w:sz w:val="20"/>
                <w:szCs w:val="20"/>
              </w:rPr>
              <w:t xml:space="preserve">03</w:t>
            </w:r>
          </w:p>
        </w:tc>
        <w:tc>
          <w:tcPr>
            <w:tcW w:type="dxa" w:w="360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Leer transcript completo de earnings call — no el resumen</w:t>
            </w:r>
          </w:p>
        </w:tc>
        <w:tc>
          <w:tcPr>
            <w:tcW w:type="dxa" w:w="520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Lenguaje más vago sobre timelines. Preguntas de analistas sin respuesta numérica. Cambio de énfasis en la narrativa del management.</w:t>
            </w:r>
          </w:p>
        </w:tc>
      </w:tr>
      <w:tr>
        <w:tc>
          <w:tcPr>
            <w:tcW w:type="dxa" w:w="56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bCs/>
                <w:i w:val="false"/>
                <w:iCs w:val="false"/>
                <w:color w:val="B5440E"/>
                <w:sz w:val="20"/>
                <w:szCs w:val="20"/>
              </w:rPr>
              <w:t xml:space="preserve">04</w:t>
            </w:r>
          </w:p>
        </w:tc>
        <w:tc>
          <w:tcPr>
            <w:tcW w:type="dxa" w:w="360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Calcular hitos VAL con datos del trimestre</w:t>
            </w:r>
          </w:p>
        </w:tc>
        <w:tc>
          <w:tcPr>
            <w:tcW w:type="dxa" w:w="520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VAL-01 por debajo de umbral mínimo con activos plenos. VAL-02 sin re-rating tras catalizador materializado.</w:t>
            </w:r>
          </w:p>
        </w:tc>
      </w:tr>
      <w:tr>
        <w:tc>
          <w:tcPr>
            <w:tcW w:type="dxa" w:w="56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bCs/>
                <w:i w:val="false"/>
                <w:iCs w:val="false"/>
                <w:color w:val="B5440E"/>
                <w:sz w:val="20"/>
                <w:szCs w:val="20"/>
              </w:rPr>
              <w:t xml:space="preserve">05</w:t>
            </w:r>
          </w:p>
        </w:tc>
        <w:tc>
          <w:tcPr>
            <w:tcW w:type="dxa" w:w="360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Verificar proveedor/contratista crítico si aplica</w:t>
            </w:r>
          </w:p>
        </w:tc>
        <w:tc>
          <w:tcPr>
            <w:tcW w:type="dxa" w:w="520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Cualquier retraso en proyectos de terceros con el mismo contratista. Comunicados de financiación de emergencia.</w:t>
            </w:r>
          </w:p>
        </w:tc>
      </w:tr>
      <w:tr>
        <w:tc>
          <w:tcPr>
            <w:tcW w:type="dxa" w:w="56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bCs/>
                <w:i w:val="false"/>
                <w:iCs w:val="false"/>
                <w:color w:val="B5440E"/>
                <w:sz w:val="20"/>
                <w:szCs w:val="20"/>
              </w:rPr>
              <w:t xml:space="preserve">06</w:t>
            </w:r>
          </w:p>
        </w:tc>
        <w:tc>
          <w:tcPr>
            <w:tcW w:type="dxa" w:w="360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Formular la pregunta única de deterioro por escrito</w:t>
            </w:r>
          </w:p>
        </w:tc>
        <w:tc>
          <w:tcPr>
            <w:tcW w:type="dxa" w:w="520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Si la respuesta no es 'nada' en menos de dos minutos: registrar en el monitor y evaluar score VAL-04.</w:t>
            </w:r>
          </w:p>
        </w:tc>
      </w:tr>
    </w:tbl>
    <w:p>
      <w:pPr>
        <w:spacing w:before="0" w:after="200"/>
        <w:jc w:val="left"/>
      </w:pPr>
    </w:p>
    <w:p>
      <w:pPr>
        <w:pStyle w:val="Heading2"/>
        <w:spacing w:before="320" w:after="140"/>
      </w:pPr>
      <w:r>
        <w:rPr>
          <w:rFonts w:ascii="Arial" w:cs="Arial" w:eastAsia="Arial" w:hAnsi="Arial"/>
          <w:b/>
          <w:bCs/>
          <w:color w:val="2C2C2C"/>
          <w:sz w:val="26"/>
          <w:szCs w:val="26"/>
        </w:rPr>
        <w:t xml:space="preserve">5.3  Condiciones de salida — estructura mínima</w:t>
      </w:r>
    </w:p>
    <w:p>
      <w:pPr>
        <w:spacing w:before="0" w:after="160"/>
        <w:jc w:val="left"/>
      </w:pPr>
      <w:r>
        <w:rPr>
          <w:rFonts w:ascii="Arial" w:cs="Arial" w:eastAsia="Arial" w:hAnsi="Arial"/>
          <w:b w:val="false"/>
          <w:bCs w:val="false"/>
          <w:i w:val="false"/>
          <w:iCs w:val="false"/>
          <w:color w:val="1A1814"/>
          <w:sz w:val="22"/>
          <w:szCs w:val="22"/>
        </w:rPr>
        <w:t xml:space="preserve">Toda tesis gestionada con el Método de Propiedad debe tener exactamente tres condiciones de invalidación binarias y verificables. Si no pueden formularse en estos términos, la tesis no está suficientemente definida para aplicar el método.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760"/>
        <w:gridCol w:w="1600"/>
      </w:tblGrid>
      <w:tr>
        <w:tc>
          <w:tcPr>
            <w:tcW w:type="dxa" w:w="800"/>
            <w:gridSpan w:val="1"/>
            <w:tcBorders>
              <w:top w:val="single" w:color="D4C9B8" w:sz="1"/>
              <w:left w:val="single" w:color="D4C9B8" w:sz="1"/>
              <w:bottom w:val="single" w:color="D4C9B8" w:sz="1"/>
              <w:right w:val="single" w:color="D4C9B8" w:sz="1"/>
            </w:tcBorders>
            <w:shd w:fill="1A1814"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Hito</w:t>
            </w:r>
          </w:p>
        </w:tc>
        <w:tc>
          <w:tcPr>
            <w:tcW w:type="dxa" w:w="2800"/>
            <w:gridSpan w:val="1"/>
            <w:tcBorders>
              <w:top w:val="single" w:color="D4C9B8" w:sz="1"/>
              <w:left w:val="single" w:color="D4C9B8" w:sz="1"/>
              <w:bottom w:val="single" w:color="D4C9B8" w:sz="1"/>
              <w:right w:val="single" w:color="D4C9B8" w:sz="1"/>
            </w:tcBorders>
            <w:shd w:fill="1A1814"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Condición</w:t>
            </w:r>
          </w:p>
        </w:tc>
        <w:tc>
          <w:tcPr>
            <w:tcW w:type="dxa" w:w="3760"/>
            <w:gridSpan w:val="1"/>
            <w:tcBorders>
              <w:top w:val="single" w:color="D4C9B8" w:sz="1"/>
              <w:left w:val="single" w:color="D4C9B8" w:sz="1"/>
              <w:bottom w:val="single" w:color="D4C9B8" w:sz="1"/>
              <w:right w:val="single" w:color="D4C9B8" w:sz="1"/>
            </w:tcBorders>
            <w:shd w:fill="1A1814"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Criterio de verificación</w:t>
            </w:r>
          </w:p>
        </w:tc>
        <w:tc>
          <w:tcPr>
            <w:tcW w:type="dxa" w:w="1600"/>
            <w:gridSpan w:val="1"/>
            <w:tcBorders>
              <w:top w:val="single" w:color="D4C9B8" w:sz="1"/>
              <w:left w:val="single" w:color="D4C9B8" w:sz="1"/>
              <w:bottom w:val="single" w:color="D4C9B8" w:sz="1"/>
              <w:right w:val="single" w:color="D4C9B8" w:sz="1"/>
            </w:tcBorders>
            <w:shd w:fill="1A1814"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Acción</w:t>
            </w:r>
          </w:p>
        </w:tc>
      </w:tr>
      <w:tr>
        <w:tc>
          <w:tcPr>
            <w:tcW w:type="dxa" w:w="80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bCs/>
                <w:i w:val="false"/>
                <w:iCs w:val="false"/>
                <w:color w:val="B5440E"/>
                <w:sz w:val="20"/>
                <w:szCs w:val="20"/>
              </w:rPr>
              <w:t xml:space="preserve">INV-01</w:t>
            </w:r>
          </w:p>
        </w:tc>
        <w:tc>
          <w:tcPr>
            <w:tcW w:type="dxa" w:w="280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Pérdida o renegociación a la baja del contrato principal generador de FCF</w:t>
            </w:r>
          </w:p>
        </w:tc>
        <w:tc>
          <w:tcPr>
            <w:tcW w:type="dxa" w:w="376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Filing oficial, comunicado de IR, o confirmación en earnings call por el CEO con cifras.</w:t>
            </w:r>
          </w:p>
        </w:tc>
        <w:tc>
          <w:tcPr>
            <w:tcW w:type="dxa" w:w="160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bCs/>
                <w:i w:val="false"/>
                <w:iCs w:val="false"/>
                <w:color w:val="B5440E"/>
                <w:sz w:val="20"/>
                <w:szCs w:val="20"/>
              </w:rPr>
              <w:t xml:space="preserve">Revisar en 48h</w:t>
            </w:r>
          </w:p>
        </w:tc>
      </w:tr>
      <w:tr>
        <w:tc>
          <w:tcPr>
            <w:tcW w:type="dxa" w:w="80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bCs/>
                <w:i w:val="false"/>
                <w:iCs w:val="false"/>
                <w:color w:val="B5440E"/>
                <w:sz w:val="20"/>
                <w:szCs w:val="20"/>
              </w:rPr>
              <w:t xml:space="preserve">INV-02</w:t>
            </w:r>
          </w:p>
        </w:tc>
        <w:tc>
          <w:tcPr>
            <w:tcW w:type="dxa" w:w="280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Cancelación oficial del contrato de crecimiento principal</w:t>
            </w:r>
          </w:p>
        </w:tc>
        <w:tc>
          <w:tcPr>
            <w:tcW w:type="dxa" w:w="376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Comunicado oficial de cancelación o filing 6-K/8-K. No rumores ni analistas.</w:t>
            </w:r>
          </w:p>
        </w:tc>
        <w:tc>
          <w:tcPr>
            <w:tcW w:type="dxa" w:w="160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bCs/>
                <w:i w:val="false"/>
                <w:iCs w:val="false"/>
                <w:color w:val="B5440E"/>
                <w:sz w:val="20"/>
                <w:szCs w:val="20"/>
              </w:rPr>
              <w:t xml:space="preserve">Revisar en 48h</w:t>
            </w:r>
          </w:p>
        </w:tc>
      </w:tr>
      <w:tr>
        <w:tc>
          <w:tcPr>
            <w:tcW w:type="dxa" w:w="80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bCs/>
                <w:i w:val="false"/>
                <w:iCs w:val="false"/>
                <w:color w:val="B5440E"/>
                <w:sz w:val="20"/>
                <w:szCs w:val="20"/>
              </w:rPr>
              <w:t xml:space="preserve">INV-03</w:t>
            </w:r>
          </w:p>
        </w:tc>
        <w:tc>
          <w:tcPr>
            <w:tcW w:type="dxa" w:w="280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Dilución de capital superior al umbral predefinido</w:t>
            </w:r>
          </w:p>
        </w:tc>
        <w:tc>
          <w:tcPr>
            <w:tcW w:type="dxa" w:w="376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Filing de emisión de acciones. Porcentaje calculado sobre shares outstanding en la fecha de entrada.</w:t>
            </w:r>
          </w:p>
        </w:tc>
        <w:tc>
          <w:tcPr>
            <w:tcW w:type="dxa" w:w="160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bCs/>
                <w:i w:val="false"/>
                <w:iCs w:val="false"/>
                <w:color w:val="B5440E"/>
                <w:sz w:val="20"/>
                <w:szCs w:val="20"/>
              </w:rPr>
              <w:t xml:space="preserve">Revisar en 48h</w:t>
            </w:r>
          </w:p>
        </w:tc>
      </w:tr>
      <w:tr>
        <w:tc>
          <w:tcPr>
            <w:tcW w:type="dxa" w:w="9360"/>
            <w:gridSpan w:val="4"/>
            <w:tcBorders>
              <w:top w:val="single" w:color="D4C9B8" w:sz="1"/>
              <w:left w:val="single" w:color="D4C9B8" w:sz="1"/>
              <w:bottom w:val="single" w:color="D4C9B8" w:sz="1"/>
              <w:right w:val="single" w:color="D4C9B8" w:sz="1"/>
            </w:tcBorders>
            <w:shd w:fill="F2EAE0" w:val="clear"/>
            <w:tcMar>
              <w:top w:type="dxa" w:w="100"/>
              <w:left w:type="dxa" w:w="140"/>
              <w:bottom w:type="dxa" w:w="100"/>
              <w:right w:type="dxa" w:w="140"/>
            </w:tcMar>
          </w:tcPr>
          <w:p>
            <w:pPr>
              <w:jc w:val="left"/>
            </w:pPr>
            <w:r>
              <w:rPr>
                <w:rFonts w:ascii="Arial" w:cs="Arial" w:eastAsia="Arial" w:hAnsi="Arial"/>
                <w:b/>
                <w:bCs/>
                <w:color w:val="B5440E"/>
                <w:sz w:val="18"/>
                <w:szCs w:val="18"/>
              </w:rPr>
              <w:t xml:space="preserve">Lo que NO es condición de salida: </w:t>
            </w:r>
            <w:r>
              <w:rPr>
                <w:rFonts w:ascii="Arial" w:cs="Arial" w:eastAsia="Arial" w:hAnsi="Arial"/>
                <w:i/>
                <w:iCs/>
                <w:color w:val="555555"/>
                <w:sz w:val="18"/>
                <w:szCs w:val="18"/>
              </w:rPr>
              <w:t xml:space="preserve">caída del precio de mercado, ruido macro del sector, volatilidad geopolítica sin impacto contractual, cambios en posiciones de otros gestores sin contexto, revisión de guidance de corto plazo sin impacto en backlog.</w:t>
            </w:r>
          </w:p>
        </w:tc>
      </w:tr>
    </w:tbl>
    <w:p>
      <w:pPr>
        <w:spacing w:before="0" w:after="200"/>
        <w:jc w:val="left"/>
      </w:pPr>
    </w:p>
    <w:p>
      <w:pPr>
        <w:pBdr>
          <w:bottom w:val="single" w:color="D4C9B8" w:sz="4" w:space="1"/>
        </w:pBdr>
        <w:spacing w:before="200" w:after="200"/>
      </w:pPr>
      <w:r>
        <w:rPr>
          <w:rFonts w:ascii="Arial" w:cs="Arial" w:eastAsia="Arial" w:hAnsi="Arial"/>
        </w:rPr>
        <w:t xml:space="preserve"/>
      </w:r>
    </w:p>
    <w:p>
      <w:pPr>
        <w:pStyle w:val="Heading1"/>
        <w:pBdr>
          <w:bottom w:val="single" w:color="B5440E" w:sz="6" w:space="6"/>
        </w:pBdr>
        <w:spacing w:before="400" w:after="200"/>
      </w:pPr>
      <w:r>
        <w:rPr>
          <w:rFonts w:ascii="Arial" w:cs="Arial" w:eastAsia="Arial" w:hAnsi="Arial"/>
          <w:b/>
          <w:bCs/>
          <w:color w:val="1A1814"/>
          <w:sz w:val="36"/>
          <w:szCs w:val="36"/>
        </w:rPr>
        <w:t xml:space="preserve">Parte VI — Instrucción operativa para el agente IA</w:t>
      </w:r>
    </w:p>
    <w:p>
      <w:pPr>
        <w:pStyle w:val="Heading2"/>
        <w:spacing w:before="320" w:after="140"/>
      </w:pPr>
      <w:r>
        <w:rPr>
          <w:rFonts w:ascii="Arial" w:cs="Arial" w:eastAsia="Arial" w:hAnsi="Arial"/>
          <w:b/>
          <w:bCs/>
          <w:color w:val="2C2C2C"/>
          <w:sz w:val="26"/>
          <w:szCs w:val="26"/>
        </w:rPr>
        <w:t xml:space="preserve">6.1  Cómo aplicar este documento a una tesis nueva</w:t>
      </w:r>
    </w:p>
    <w:p>
      <w:pPr>
        <w:spacing w:before="0" w:after="120"/>
        <w:jc w:val="left"/>
      </w:pPr>
      <w:r>
        <w:rPr>
          <w:rFonts w:ascii="Arial" w:cs="Arial" w:eastAsia="Arial" w:hAnsi="Arial"/>
          <w:b w:val="false"/>
          <w:bCs w:val="false"/>
          <w:i w:val="false"/>
          <w:iCs w:val="false"/>
          <w:color w:val="1A1814"/>
          <w:sz w:val="22"/>
          <w:szCs w:val="22"/>
        </w:rPr>
        <w:t xml:space="preserve">Cuando el agente reciba una tesis de inversión para analizar bajo el Método de Propiedad, debe ejecutar este protocolo en orden:</w:t>
      </w:r>
    </w:p>
    <w:p>
      <w:pPr>
        <w:pStyle w:val="ListParagraph"/>
        <w:numPr>
          <w:ilvl w:val="0"/>
          <w:numId w:val="2"/>
        </w:numPr>
        <w:spacing w:before="60" w:after="80"/>
      </w:pPr>
      <w:r>
        <w:rPr>
          <w:rFonts w:ascii="Arial" w:cs="Arial" w:eastAsia="Arial" w:hAnsi="Arial"/>
          <w:b w:val="false"/>
          <w:bCs w:val="false"/>
          <w:i w:val="false"/>
          <w:iCs w:val="false"/>
          <w:color w:val="1A1814"/>
          <w:sz w:val="22"/>
          <w:szCs w:val="22"/>
        </w:rPr>
        <w:t xml:space="preserve">Verificar que la tesis cumple las tres condiciones de validez del método</w:t>
      </w:r>
      <w:r>
        <w:rPr>
          <w:rFonts w:ascii="Arial" w:cs="Arial" w:eastAsia="Arial" w:hAnsi="Arial"/>
          <w:b w:val="false"/>
          <w:bCs w:val="false"/>
          <w:i/>
          <w:iCs/>
          <w:color w:val="555555"/>
          <w:sz w:val="22"/>
          <w:szCs w:val="22"/>
        </w:rPr>
        <w:t xml:space="preserve"> (Parte I, sección 1.2)</w:t>
      </w:r>
      <w:r>
        <w:rPr>
          <w:rFonts w:ascii="Arial" w:cs="Arial" w:eastAsia="Arial" w:hAnsi="Arial"/>
          <w:b w:val="false"/>
          <w:bCs w:val="false"/>
          <w:i w:val="false"/>
          <w:iCs w:val="false"/>
          <w:color w:val="1A1814"/>
          <w:sz w:val="22"/>
          <w:szCs w:val="22"/>
        </w:rPr>
        <w:t xml:space="preserve">. Si no las cumple, informar antes de continuar.</w:t>
      </w:r>
    </w:p>
    <w:p>
      <w:pPr>
        <w:pStyle w:val="ListParagraph"/>
        <w:numPr>
          <w:ilvl w:val="0"/>
          <w:numId w:val="2"/>
        </w:numPr>
        <w:spacing w:before="60" w:after="80"/>
      </w:pPr>
      <w:r>
        <w:rPr>
          <w:rFonts w:ascii="Arial" w:cs="Arial" w:eastAsia="Arial" w:hAnsi="Arial"/>
          <w:b w:val="false"/>
          <w:bCs w:val="false"/>
          <w:i w:val="false"/>
          <w:iCs w:val="false"/>
          <w:color w:val="1A1814"/>
          <w:sz w:val="22"/>
          <w:szCs w:val="22"/>
        </w:rPr>
        <w:t xml:space="preserve">Construir los cinco argumentos contrarios DA-01 a DA-05</w:t>
      </w:r>
      <w:r>
        <w:rPr>
          <w:rFonts w:ascii="Arial" w:cs="Arial" w:eastAsia="Arial" w:hAnsi="Arial"/>
          <w:b w:val="false"/>
          <w:bCs w:val="false"/>
          <w:i/>
          <w:iCs/>
          <w:color w:val="555555"/>
          <w:sz w:val="22"/>
          <w:szCs w:val="22"/>
        </w:rPr>
        <w:t xml:space="preserve"> (Parte II, sección 2.2)</w:t>
      </w:r>
      <w:r>
        <w:rPr>
          <w:rFonts w:ascii="Arial" w:cs="Arial" w:eastAsia="Arial" w:hAnsi="Arial"/>
          <w:b w:val="false"/>
          <w:bCs w:val="false"/>
          <w:i w:val="false"/>
          <w:iCs w:val="false"/>
          <w:color w:val="1A1814"/>
          <w:sz w:val="22"/>
          <w:szCs w:val="22"/>
        </w:rPr>
        <w:t xml:space="preserve">. Sin concesiones.</w:t>
      </w:r>
    </w:p>
    <w:p>
      <w:pPr>
        <w:pStyle w:val="ListParagraph"/>
        <w:numPr>
          <w:ilvl w:val="0"/>
          <w:numId w:val="2"/>
        </w:numPr>
        <w:spacing w:before="60" w:after="80"/>
      </w:pPr>
      <w:r>
        <w:rPr>
          <w:rFonts w:ascii="Arial" w:cs="Arial" w:eastAsia="Arial" w:hAnsi="Arial"/>
          <w:b w:val="false"/>
          <w:bCs w:val="false"/>
          <w:i w:val="false"/>
          <w:iCs w:val="false"/>
          <w:color w:val="1A1814"/>
          <w:sz w:val="22"/>
          <w:szCs w:val="22"/>
        </w:rPr>
        <w:t xml:space="preserve">Generar la respuesta estructurada de la tesis a cada argumento</w:t>
      </w:r>
      <w:r>
        <w:rPr>
          <w:rFonts w:ascii="Arial" w:cs="Arial" w:eastAsia="Arial" w:hAnsi="Arial"/>
          <w:b w:val="false"/>
          <w:bCs w:val="false"/>
          <w:i/>
          <w:iCs/>
          <w:color w:val="555555"/>
          <w:sz w:val="22"/>
          <w:szCs w:val="22"/>
        </w:rPr>
        <w:t xml:space="preserve"> (Parte II, sección 2.3)</w:t>
      </w:r>
      <w:r>
        <w:rPr>
          <w:rFonts w:ascii="Arial" w:cs="Arial" w:eastAsia="Arial" w:hAnsi="Arial"/>
          <w:b w:val="false"/>
          <w:bCs w:val="false"/>
          <w:i w:val="false"/>
          <w:iCs w:val="false"/>
          <w:color w:val="1A1814"/>
          <w:sz w:val="22"/>
          <w:szCs w:val="22"/>
        </w:rPr>
        <w:t xml:space="preserve">. Identificar cuál es el argumento no gestionable con monitorización.</w:t>
      </w:r>
    </w:p>
    <w:p>
      <w:pPr>
        <w:pStyle w:val="ListParagraph"/>
        <w:numPr>
          <w:ilvl w:val="0"/>
          <w:numId w:val="2"/>
        </w:numPr>
        <w:spacing w:before="60" w:after="80"/>
      </w:pPr>
      <w:r>
        <w:rPr>
          <w:rFonts w:ascii="Arial" w:cs="Arial" w:eastAsia="Arial" w:hAnsi="Arial"/>
          <w:b w:val="false"/>
          <w:bCs w:val="false"/>
          <w:i w:val="false"/>
          <w:iCs w:val="false"/>
          <w:color w:val="1A1814"/>
          <w:sz w:val="22"/>
          <w:szCs w:val="22"/>
        </w:rPr>
        <w:t xml:space="preserve">Identificar las fisuras silenciosas relevantes para esta tesis específica</w:t>
      </w:r>
      <w:r>
        <w:rPr>
          <w:rFonts w:ascii="Arial" w:cs="Arial" w:eastAsia="Arial" w:hAnsi="Arial"/>
          <w:b w:val="false"/>
          <w:bCs w:val="false"/>
          <w:i/>
          <w:iCs/>
          <w:color w:val="555555"/>
          <w:sz w:val="22"/>
          <w:szCs w:val="22"/>
        </w:rPr>
        <w:t xml:space="preserve"> (Parte III, sección 3.2)</w:t>
      </w:r>
      <w:r>
        <w:rPr>
          <w:rFonts w:ascii="Arial" w:cs="Arial" w:eastAsia="Arial" w:hAnsi="Arial"/>
          <w:b w:val="false"/>
          <w:bCs w:val="false"/>
          <w:i w:val="false"/>
          <w:iCs w:val="false"/>
          <w:color w:val="1A1814"/>
          <w:sz w:val="22"/>
          <w:szCs w:val="22"/>
        </w:rPr>
        <w:t xml:space="preserve">. No todas las fisuras aplican a todos los sectores.</w:t>
      </w:r>
    </w:p>
    <w:p>
      <w:pPr>
        <w:pStyle w:val="ListParagraph"/>
        <w:numPr>
          <w:ilvl w:val="0"/>
          <w:numId w:val="2"/>
        </w:numPr>
        <w:spacing w:before="60" w:after="80"/>
      </w:pPr>
      <w:r>
        <w:rPr>
          <w:rFonts w:ascii="Arial" w:cs="Arial" w:eastAsia="Arial" w:hAnsi="Arial"/>
          <w:b w:val="false"/>
          <w:bCs w:val="false"/>
          <w:i w:val="false"/>
          <w:iCs w:val="false"/>
          <w:color w:val="1A1814"/>
          <w:sz w:val="22"/>
          <w:szCs w:val="22"/>
        </w:rPr>
        <w:t xml:space="preserve">Definir los tres hitos VAL con umbrales numéricos concretos</w:t>
      </w:r>
      <w:r>
        <w:rPr>
          <w:rFonts w:ascii="Arial" w:cs="Arial" w:eastAsia="Arial" w:hAnsi="Arial"/>
          <w:b w:val="false"/>
          <w:bCs w:val="false"/>
          <w:i/>
          <w:iCs/>
          <w:color w:val="555555"/>
          <w:sz w:val="22"/>
          <w:szCs w:val="22"/>
        </w:rPr>
        <w:t xml:space="preserve"> (Parte III, sección 3.3)</w:t>
      </w:r>
      <w:r>
        <w:rPr>
          <w:rFonts w:ascii="Arial" w:cs="Arial" w:eastAsia="Arial" w:hAnsi="Arial"/>
          <w:b w:val="false"/>
          <w:bCs w:val="false"/>
          <w:i w:val="false"/>
          <w:iCs w:val="false"/>
          <w:color w:val="1A1814"/>
          <w:sz w:val="22"/>
          <w:szCs w:val="22"/>
        </w:rPr>
        <w:t xml:space="preserve">. Si no pueden definirse en términos cuantificables, la tesis no está suficientemente desarrollada.</w:t>
      </w:r>
    </w:p>
    <w:p>
      <w:pPr>
        <w:pStyle w:val="ListParagraph"/>
        <w:numPr>
          <w:ilvl w:val="0"/>
          <w:numId w:val="2"/>
        </w:numPr>
        <w:spacing w:before="60" w:after="80"/>
      </w:pPr>
      <w:r>
        <w:rPr>
          <w:rFonts w:ascii="Arial" w:cs="Arial" w:eastAsia="Arial" w:hAnsi="Arial"/>
          <w:b w:val="false"/>
          <w:bCs w:val="false"/>
          <w:i w:val="false"/>
          <w:iCs w:val="false"/>
          <w:color w:val="1A1814"/>
          <w:sz w:val="22"/>
          <w:szCs w:val="22"/>
        </w:rPr>
        <w:t xml:space="preserve">Clasificar los institucionales por tipo</w:t>
      </w:r>
      <w:r>
        <w:rPr>
          <w:rFonts w:ascii="Arial" w:cs="Arial" w:eastAsia="Arial" w:hAnsi="Arial"/>
          <w:b w:val="false"/>
          <w:bCs w:val="false"/>
          <w:i/>
          <w:iCs/>
          <w:color w:val="555555"/>
          <w:sz w:val="22"/>
          <w:szCs w:val="22"/>
        </w:rPr>
        <w:t xml:space="preserve"> (Parte IV, sección 4.1)</w:t>
      </w:r>
      <w:r>
        <w:rPr>
          <w:rFonts w:ascii="Arial" w:cs="Arial" w:eastAsia="Arial" w:hAnsi="Arial"/>
          <w:b w:val="false"/>
          <w:bCs w:val="false"/>
          <w:i w:val="false"/>
          <w:iCs w:val="false"/>
          <w:color w:val="1A1814"/>
          <w:sz w:val="22"/>
          <w:szCs w:val="22"/>
        </w:rPr>
        <w:t xml:space="preserve">. Evaluar plusvalía latente de cada uno para calibrar el peso de sus señales.</w:t>
      </w:r>
    </w:p>
    <w:p>
      <w:pPr>
        <w:pStyle w:val="ListParagraph"/>
        <w:numPr>
          <w:ilvl w:val="0"/>
          <w:numId w:val="2"/>
        </w:numPr>
        <w:spacing w:before="60" w:after="200"/>
      </w:pPr>
      <w:r>
        <w:rPr>
          <w:rFonts w:ascii="Arial" w:cs="Arial" w:eastAsia="Arial" w:hAnsi="Arial"/>
          <w:b w:val="false"/>
          <w:bCs w:val="false"/>
          <w:i w:val="false"/>
          <w:iCs w:val="false"/>
          <w:color w:val="1A1814"/>
          <w:sz w:val="22"/>
          <w:szCs w:val="22"/>
        </w:rPr>
        <w:t xml:space="preserve">Definir las tres condiciones de invalidación binarias</w:t>
      </w:r>
      <w:r>
        <w:rPr>
          <w:rFonts w:ascii="Arial" w:cs="Arial" w:eastAsia="Arial" w:hAnsi="Arial"/>
          <w:b w:val="false"/>
          <w:bCs w:val="false"/>
          <w:i/>
          <w:iCs/>
          <w:color w:val="555555"/>
          <w:sz w:val="22"/>
          <w:szCs w:val="22"/>
        </w:rPr>
        <w:t xml:space="preserve"> (Parte V, sección 5.3)</w:t>
      </w:r>
      <w:r>
        <w:rPr>
          <w:rFonts w:ascii="Arial" w:cs="Arial" w:eastAsia="Arial" w:hAnsi="Arial"/>
          <w:b w:val="false"/>
          <w:bCs w:val="false"/>
          <w:i w:val="false"/>
          <w:iCs w:val="false"/>
          <w:color w:val="1A1814"/>
          <w:sz w:val="22"/>
          <w:szCs w:val="22"/>
        </w:rPr>
        <w:t xml:space="preserve">. Si no pueden formularse como eventos verificables, devolver la tesis para refinamiento.</w:t>
      </w:r>
    </w:p>
    <w:p>
      <w:pPr>
        <w:pStyle w:val="Heading2"/>
        <w:spacing w:before="320" w:after="140"/>
      </w:pPr>
      <w:r>
        <w:rPr>
          <w:rFonts w:ascii="Arial" w:cs="Arial" w:eastAsia="Arial" w:hAnsi="Arial"/>
          <w:b/>
          <w:bCs/>
          <w:color w:val="2C2C2C"/>
          <w:sz w:val="26"/>
          <w:szCs w:val="26"/>
        </w:rPr>
        <w:t xml:space="preserve">6.2  Output esperado del agente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D4C9B8" w:sz="1"/>
              <w:left w:val="single" w:color="D4C9B8" w:sz="1"/>
              <w:bottom w:val="single" w:color="D4C9B8" w:sz="1"/>
              <w:right w:val="single" w:color="D4C9B8" w:sz="1"/>
            </w:tcBorders>
            <w:shd w:fill="1A1814"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Sección del output</w:t>
            </w:r>
          </w:p>
        </w:tc>
        <w:tc>
          <w:tcPr>
            <w:tcW w:type="dxa" w:w="6560"/>
            <w:gridSpan w:val="1"/>
            <w:tcBorders>
              <w:top w:val="single" w:color="D4C9B8" w:sz="1"/>
              <w:left w:val="single" w:color="D4C9B8" w:sz="1"/>
              <w:bottom w:val="single" w:color="D4C9B8" w:sz="1"/>
              <w:right w:val="single" w:color="D4C9B8" w:sz="1"/>
            </w:tcBorders>
            <w:shd w:fill="1A1814" w:val="clear"/>
            <w:tcMar>
              <w:top w:type="dxa" w:w="100"/>
              <w:left w:type="dxa" w:w="140"/>
              <w:bottom w:type="dxa" w:w="100"/>
              <w:right w:type="dxa" w:w="140"/>
            </w:tcMar>
            <w:vAlign w:val="center"/>
          </w:tcPr>
          <w:p>
            <w:pPr>
              <w:jc w:val="left"/>
            </w:pPr>
            <w:r>
              <w:rPr>
                <w:rFonts w:ascii="Arial" w:cs="Arial" w:eastAsia="Arial" w:hAnsi="Arial"/>
                <w:b/>
                <w:bCs/>
                <w:color w:val="FFFFFF"/>
                <w:sz w:val="18"/>
                <w:szCs w:val="18"/>
              </w:rPr>
              <w:t xml:space="preserve">Contenido requerido</w:t>
            </w:r>
          </w:p>
        </w:tc>
      </w:tr>
      <w:tr>
        <w:tc>
          <w:tcPr>
            <w:tcW w:type="dxa" w:w="280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bCs/>
                <w:i w:val="false"/>
                <w:iCs w:val="false"/>
                <w:color w:val="1A1814"/>
                <w:sz w:val="20"/>
                <w:szCs w:val="20"/>
              </w:rPr>
              <w:t xml:space="preserve">Validación del método</w:t>
            </w:r>
          </w:p>
        </w:tc>
        <w:tc>
          <w:tcPr>
            <w:tcW w:type="dxa" w:w="656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Confirmar o rechazar que la tesis cumple las tres condiciones. Si rechaza, explicar cuál falla.</w:t>
            </w:r>
          </w:p>
        </w:tc>
      </w:tr>
      <w:tr>
        <w:tc>
          <w:tcPr>
            <w:tcW w:type="dxa" w:w="280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bCs/>
                <w:i w:val="false"/>
                <w:iCs w:val="false"/>
                <w:color w:val="1A1814"/>
                <w:sz w:val="20"/>
                <w:szCs w:val="20"/>
              </w:rPr>
              <w:t xml:space="preserve">Argumentos contrarios DA-01 a DA-05</w:t>
            </w:r>
          </w:p>
        </w:tc>
        <w:tc>
          <w:tcPr>
            <w:tcW w:type="dxa" w:w="656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Cinco argumentos sin concesiones. Identificar explícitamente cuál es el riesgo no gestionable.</w:t>
            </w:r>
          </w:p>
        </w:tc>
      </w:tr>
      <w:tr>
        <w:tc>
          <w:tcPr>
            <w:tcW w:type="dxa" w:w="280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bCs/>
                <w:i w:val="false"/>
                <w:iCs w:val="false"/>
                <w:color w:val="1A1814"/>
                <w:sz w:val="20"/>
                <w:szCs w:val="20"/>
              </w:rPr>
              <w:t xml:space="preserve">Respuesta de la tesis</w:t>
            </w:r>
          </w:p>
        </w:tc>
        <w:tc>
          <w:tcPr>
            <w:tcW w:type="dxa" w:w="656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Respuesta estructurada a cada argumento. Clasificar cada riesgo como: (a) gestionable con monitorización, (b) contenible con sizing, (c) invalida la tesis.</w:t>
            </w:r>
          </w:p>
        </w:tc>
      </w:tr>
      <w:tr>
        <w:tc>
          <w:tcPr>
            <w:tcW w:type="dxa" w:w="280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bCs/>
                <w:i w:val="false"/>
                <w:iCs w:val="false"/>
                <w:color w:val="1A1814"/>
                <w:sz w:val="20"/>
                <w:szCs w:val="20"/>
              </w:rPr>
              <w:t xml:space="preserve">Fisuras silenciosas identificadas</w:t>
            </w:r>
          </w:p>
        </w:tc>
        <w:tc>
          <w:tcPr>
            <w:tcW w:type="dxa" w:w="656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Lista de fisuras relevantes para esta tesis con su señal de alerta específica y falso positivo conocido.</w:t>
            </w:r>
          </w:p>
        </w:tc>
      </w:tr>
      <w:tr>
        <w:tc>
          <w:tcPr>
            <w:tcW w:type="dxa" w:w="280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bCs/>
                <w:i w:val="false"/>
                <w:iCs w:val="false"/>
                <w:color w:val="1A1814"/>
                <w:sz w:val="20"/>
                <w:szCs w:val="20"/>
              </w:rPr>
              <w:t xml:space="preserve">Hitos VAL con umbrales</w:t>
            </w:r>
          </w:p>
        </w:tc>
        <w:tc>
          <w:tcPr>
            <w:tcW w:type="dxa" w:w="656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VAL-01, VAL-02, VAL-03 con umbrales numéricos OK y KO. Ventana temporal de verificación.</w:t>
            </w:r>
          </w:p>
        </w:tc>
      </w:tr>
      <w:tr>
        <w:tc>
          <w:tcPr>
            <w:tcW w:type="dxa" w:w="280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bCs/>
                <w:i w:val="false"/>
                <w:iCs w:val="false"/>
                <w:color w:val="1A1814"/>
                <w:sz w:val="20"/>
                <w:szCs w:val="20"/>
              </w:rPr>
              <w:t xml:space="preserve">Análisis institucionales</w:t>
            </w:r>
          </w:p>
        </w:tc>
        <w:tc>
          <w:tcPr>
            <w:tcW w:type="dxa" w:w="6560"/>
            <w:gridSpan w:val="1"/>
            <w:tcBorders>
              <w:top w:val="single" w:color="D4C9B8" w:sz="1"/>
              <w:left w:val="single" w:color="D4C9B8" w:sz="1"/>
              <w:bottom w:val="single" w:color="D4C9B8" w:sz="1"/>
              <w:right w:val="single" w:color="D4C9B8" w:sz="1"/>
            </w:tcBorders>
            <w:shd w:fill="FFFFFF"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Clasificación por tipo, plusvalía latente, y peso de señal resultante. Falsos negativos conocidos.</w:t>
            </w:r>
          </w:p>
        </w:tc>
      </w:tr>
      <w:tr>
        <w:tc>
          <w:tcPr>
            <w:tcW w:type="dxa" w:w="280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bCs/>
                <w:i w:val="false"/>
                <w:iCs w:val="false"/>
                <w:color w:val="1A1814"/>
                <w:sz w:val="20"/>
                <w:szCs w:val="20"/>
              </w:rPr>
              <w:t xml:space="preserve">Condiciones de invalidación</w:t>
            </w:r>
          </w:p>
        </w:tc>
        <w:tc>
          <w:tcPr>
            <w:tcW w:type="dxa" w:w="6560"/>
            <w:gridSpan w:val="1"/>
            <w:tcBorders>
              <w:top w:val="single" w:color="D4C9B8" w:sz="1"/>
              <w:left w:val="single" w:color="D4C9B8" w:sz="1"/>
              <w:bottom w:val="single" w:color="D4C9B8" w:sz="1"/>
              <w:right w:val="single" w:color="D4C9B8" w:sz="1"/>
            </w:tcBorders>
            <w:shd w:fill="F9F6F0" w:val="clear"/>
            <w:tcMar>
              <w:top w:type="dxa" w:w="100"/>
              <w:left w:type="dxa" w:w="140"/>
              <w:bottom w:type="dxa" w:w="100"/>
              <w:right w:type="dxa" w:w="140"/>
            </w:tcMar>
            <w:vAlign w:val="top"/>
          </w:tcPr>
          <w:p>
            <w:pPr>
              <w:spacing w:before="40" w:after="40"/>
            </w:pPr>
            <w:r>
              <w:rPr>
                <w:rFonts w:ascii="Arial" w:cs="Arial" w:eastAsia="Arial" w:hAnsi="Arial"/>
                <w:b w:val="false"/>
                <w:bCs w:val="false"/>
                <w:i w:val="false"/>
                <w:iCs w:val="false"/>
                <w:color w:val="1A1814"/>
                <w:sz w:val="20"/>
                <w:szCs w:val="20"/>
              </w:rPr>
              <w:t xml:space="preserve">INV-01, INV-02, INV-03 en términos binarios y verificables. Fuente de verificación para cada una.</w:t>
            </w:r>
          </w:p>
        </w:tc>
      </w:tr>
    </w:tbl>
    <w:p>
      <w:pPr>
        <w:spacing w:before="0" w:after="200"/>
        <w:jc w:val="left"/>
      </w:pPr>
    </w:p>
    <w:p>
      <w:pPr>
        <w:pBdr>
          <w:bottom w:val="single" w:color="D4C9B8" w:sz="4" w:space="1"/>
        </w:pBdr>
        <w:spacing w:before="200" w:after="200"/>
      </w:pPr>
      <w:r>
        <w:rPr>
          <w:rFonts w:ascii="Arial" w:cs="Arial" w:eastAsia="Arial" w:hAnsi="Arial"/>
        </w:rPr>
        <w:t xml:space="preserve"/>
      </w:r>
    </w:p>
    <w:p>
      <w:pPr>
        <w:spacing w:before="200" w:after="80"/>
      </w:pPr>
      <w:r>
        <w:rPr>
          <w:rFonts w:ascii="Arial" w:cs="Arial" w:eastAsia="Arial" w:hAnsi="Arial"/>
          <w:b/>
          <w:bCs/>
          <w:color w:val="555555"/>
          <w:sz w:val="22"/>
          <w:szCs w:val="22"/>
        </w:rPr>
        <w:t xml:space="preserve">Nota metodológica</w:t>
      </w:r>
    </w:p>
    <w:p>
      <w:pPr>
        <w:spacing w:before="0" w:after="80"/>
        <w:jc w:val="left"/>
      </w:pPr>
      <w:r>
        <w:rPr>
          <w:rFonts w:ascii="Arial" w:cs="Arial" w:eastAsia="Arial" w:hAnsi="Arial"/>
          <w:b w:val="false"/>
          <w:bCs w:val="false"/>
          <w:i/>
          <w:iCs/>
          <w:color w:val="555555"/>
          <w:sz w:val="18"/>
          <w:szCs w:val="18"/>
        </w:rPr>
        <w:t xml:space="preserve">Este documento fue construido a partir del análisis de una posición estructural real en Golar LNG (GLNG), tesis desarrollada entre 2025 y 2026. Los principios aquí sistematizados son generalizables a cualquier tesis de inversión de largo plazo con contratos o activos reales como respaldo del valor intrínseco. No son aplicables a tesis basadas exclusivamente en proyecciones de crecimiento orgánico sin respaldo contractual.</w:t>
      </w:r>
    </w:p>
    <w:p>
      <w:pPr>
        <w:spacing w:before="0" w:after="160"/>
        <w:jc w:val="left"/>
      </w:pPr>
      <w:r>
        <w:rPr>
          <w:rFonts w:ascii="Arial" w:cs="Arial" w:eastAsia="Arial" w:hAnsi="Arial"/>
          <w:b w:val="false"/>
          <w:bCs w:val="false"/>
          <w:i w:val="false"/>
          <w:iCs w:val="false"/>
          <w:color w:val="AAAAAA"/>
          <w:sz w:val="16"/>
          <w:szCs w:val="16"/>
        </w:rPr>
        <w:t xml:space="preserve">Versión 1.0  ·  Marzo 2026  ·  Para uso como documento de referencia de agente 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lowerLetter"/>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814"/>
      <w:sz w:val="36"/>
      <w:szCs w:val="36"/>
    </w:rPr>
  </w:style>
  <w:style w:type="paragraph" w:styleId="Heading2">
    <w:name w:val="Heading 2"/>
    <w:basedOn w:val="Normal"/>
    <w:next w:val="Normal"/>
    <w:qFormat/>
    <w:pPr>
      <w:spacing w:before="320" w:after="140"/>
      <w:outlineLvl w:val="1"/>
    </w:pPr>
    <w:rPr>
      <w:rFonts w:ascii="Arial" w:cs="Arial" w:eastAsia="Arial" w:hAnsi="Arial"/>
      <w:b/>
      <w:bCs/>
      <w:color w:val="2C2C2C"/>
      <w:sz w:val="26"/>
      <w:szCs w:val="26"/>
    </w:rPr>
  </w:style>
  <w:style w:type="paragraph" w:styleId="Heading3">
    <w:name w:val="Heading 3"/>
    <w:basedOn w:val="Normal"/>
    <w:next w:val="Normal"/>
    <w:qFormat/>
    <w:pPr>
      <w:spacing w:before="240" w:after="100"/>
      <w:outlineLvl w:val="2"/>
    </w:pPr>
    <w:rPr>
      <w:rFonts w:ascii="Arial" w:cs="Arial" w:eastAsia="Arial" w:hAnsi="Arial"/>
      <w:b/>
      <w:bCs/>
      <w:color w:val="B5440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2026-03-16T21:44:39.412Z</dcterms:created>
  <dcterms:modified xsi:type="dcterms:W3CDTF">2026-03-16T21:44:39.414Z</dcterms:modified>
</cp:coreProperties>
</file>

<file path=docProps/custom.xml><?xml version="1.0" encoding="utf-8"?>
<Properties xmlns="http://schemas.openxmlformats.org/officeDocument/2006/custom-properties" xmlns:vt="http://schemas.openxmlformats.org/officeDocument/2006/docPropsVTypes"/>
</file>