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w:t>
      </w:r>
      <w:r>
        <w:tab/>
        <w:t>38</w:t>
      </w:r>
    </w:p>
    <w:p w14:paraId="7DE25326" w14:textId="77777777" w:rsidR="00FB1316" w:rsidRDefault="00127566">
      <w:pPr>
        <w:pStyle w:val="Figures"/>
      </w:pPr>
      <w:r>
        <w:t>3.3. PCB layout and 3D CAD view</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an existing concrete bridge,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(PCIEERD, 2020) describes the Universal Structural Health Evaluation and Recording System (USHER) as a 24/7 building-structure monitoring system comprising an accelerograph/sensor, a web portal, and a mobile application. Its brief frames the portal's decision-support use around assessment before, during, and after a strong earthquake. This institutional project description is not independent performance evidence; its earthquake-focused purpose differs from the present traffic-conditioned bridge-baseline study.</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 xml:space="preserve">Before collection, record each configuration field in Table 1 from the final board inspection, bench record, survey and site-approval record, frozen pilot protocol, or source-controlled software configuration. Mark unavailable values as pending; do not infer them from the schematic. The 3D view is a CAD preview with approximate MPU-6050 package models; it does not establish physical assembly or fit.</w:t>
      </w:r>
    </w:p>
    <w:p w14:paraId="3FF91482" w14:textId="77777777" w:rsidR="008B59D4" w:rsidRDefault="006D4C32" w:rsidP="006D4C32">
      <w:pPr>
        <w:keepNext/>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 xml:space="preserve">One rigid board carrying the ESP32-S3 and three co-located MPU-6050 triaxial IMU ICs; record board revision, component markings,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 xml:space="preserve">Poll and timestamp the three onboard channels sequentially; divide each fixed 600-second session into ten consecutive 60-second windows. Record the frozen analysis band, estimator/window settings, Arduino IDE and library versions, and measured per-channel sampling rate.</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 xml:space="preserve">Record session ID, date/time, total count and rate for the fixed 10-minute session, pilot-defined traffic group, weather, board station/orientation, raw-data fields, session-summary fields,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4162901" cy="2944368"/>
            <wp:effectExtent l="0" t="0" r="0" b="0"/>
            <wp:docPr id="1053113266" name="Picture 1053113266" descr="Current R2 schematic showing three MPU-6050 IMUs, ESP32-S3, USB-C input and supporting circuitry." title="Active R2 devic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4162901"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Top PCB layout and matching 3D CAD view of the active SHM_Node_R2 design. The MPU-6050 3D package models are approximate." title="Active R2 PCB layout and 3D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and 3D CAD view</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lists 10-minute data as one possible increment in a specific continuous-count-station AADT calculation procedure; its 2013 guide describes typical short-duration roadway-monitoring counts as 24 hours, 48 hours, or one week. The 10-minute interval used here pairs a concurrent vehicle count with one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(2020, October 27). Let's LINC: Leverage innovation partners to nurture collaboration [USHER system project brief]. https://projects.pcieerd.dost.gov.ph/docs/Tech%20Brief%20-%20USHER%20102320%20cleared.pdf</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