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1"/>
        <w:gridCol w:w="6125"/>
        <w:tblGridChange w:id="0">
          <w:tblGrid>
            <w:gridCol w:w="2901"/>
            <w:gridCol w:w="6125"/>
          </w:tblGrid>
        </w:tblGridChange>
      </w:tblGrid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</w:rPr>
              <w:drawing>
                <wp:inline distB="0" distT="0" distL="0" distR="0">
                  <wp:extent cx="720000" cy="720000"/>
                  <wp:effectExtent b="0" l="0" r="0" t="0"/>
                  <wp:docPr id="22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0" distT="0" distL="0" distR="0">
                  <wp:extent cx="720000" cy="720000"/>
                  <wp:effectExtent b="0" l="0" r="0" t="0"/>
                  <wp:docPr descr="Logo&#10;&#10;Description automatically generated" id="226" name="image1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Cagayan State University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COLLEGE OF ENGINEERING AND ARCHITECTURE, CARIG CAMPUS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COEA-SR02</w:t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Adviser Selection Form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This form provides a brief description of the proposed research topic that is necessary to select appropriate research advisers to serve as a guide in the field of specialization.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THESIS TITLE</w:t>
      </w:r>
    </w:p>
    <w:tbl>
      <w:tblPr>
        <w:tblStyle w:val="Table2"/>
        <w:tblW w:w="9064.999999999998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708"/>
        <w:gridCol w:w="1694"/>
        <w:tblGridChange w:id="0">
          <w:tblGrid>
            <w:gridCol w:w="6663"/>
            <w:gridCol w:w="708"/>
            <w:gridCol w:w="1694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TokTokMelon: Development of a Non-Destructive Acoustic-Based Frequency-to-Brix Sensor Using Refractometer-Based Measurement for Detecting Watermelon Sweetness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ECE</w:t>
            </w:r>
          </w:p>
        </w:tc>
      </w:tr>
      <w:tr>
        <w:trPr>
          <w:cantSplit w:val="0"/>
          <w:trHeight w:val="803.7011718750002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PROPONENT(S)</w:t>
      </w:r>
    </w:p>
    <w:tbl>
      <w:tblPr>
        <w:tblStyle w:val="Table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2397"/>
        <w:tblGridChange w:id="0">
          <w:tblGrid>
            <w:gridCol w:w="6663"/>
            <w:gridCol w:w="2397"/>
          </w:tblGrid>
        </w:tblGridChange>
      </w:tblGrid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Last Name, Given Name, Middle Initial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Guzman, James Laurence S.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Aquino, Kaye Angelique 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Roque, Celhesmerences 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CONTACT INFORMATION</w:t>
      </w:r>
    </w:p>
    <w:tbl>
      <w:tblPr>
        <w:tblStyle w:val="Table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45"/>
        <w:gridCol w:w="2126"/>
        <w:gridCol w:w="3399"/>
        <w:tblGridChange w:id="0">
          <w:tblGrid>
            <w:gridCol w:w="3545"/>
            <w:gridCol w:w="2126"/>
            <w:gridCol w:w="3399"/>
          </w:tblGrid>
        </w:tblGridChange>
      </w:tblGrid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Contact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Guzman, James Laurence S.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80809"/>
                <w:shd w:fill="f0f0f0" w:val="clear"/>
                <w:rtl w:val="0"/>
              </w:rPr>
              <w:t xml:space="preserve">09064780066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80809"/>
                <w:rtl w:val="0"/>
              </w:rPr>
              <w:t xml:space="preserve">jlguzman0864@gmail.com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Aquino, Kaye Angelique O.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09536852644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kayeaquino55@gmail.com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Roque, Celhesmerences C.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80809"/>
                <w:shd w:fill="f0f0f0" w:val="clear"/>
                <w:rtl w:val="0"/>
              </w:rPr>
              <w:t xml:space="preserve">09675904299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80809"/>
                <w:rtl w:val="0"/>
              </w:rPr>
              <w:t xml:space="preserve">celhesmerenceslashmeroque@gmail.com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2C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Please provide a short description in less than or equal to 350 words.</w:t>
      </w:r>
    </w:p>
    <w:tbl>
      <w:tblPr>
        <w:tblStyle w:val="Table5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rHeight w:val="465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bookmarkStart w:colFirst="0" w:colLast="0" w:name="_heading=h.n45kdwuufkc0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assessment of watermelon sweetness without destructive testing remains a significant challenge for consumers, vendors, and farmers. While traditional acoustic tapping is widely used as a subjective indicator of fruit quality, it relies heavily on personal experience and lacks quantitative precision. This study outlines the development of "TokTokMelon," a non-destructive acoustic sensor designed to evaluate watermelon sweetness by correlating tapping sound frequencies with actual soluble solids content, expressed in °Brix. The primary objective is to enhance an existing frequency-based ripeness detector by establishing a mathematical relationship between the acoustic characteristics of a watermelon and its refractometer-measured °Brix value. The system architecture utilizes an ESP32 microcontroller and an INMP441 microphone to capture acoustic signals, alongside a TFT LCD for the user interface. The device will operate entirely as a wired prototype without internal batteries. Fast Fourier Transform (FFT) and Mel-Frequency Cepstral Coefficients (MFCC) will be employed for embedded signal processing and feature extraction. Utilizing a sample size of 50 to 100 watermelons, a regression model will be developed and validated against destructive refractometer ground-truth measurements to estimate the °Brix level directly from the acoustic data. The outcome aims to provide a reliable, objective tool for predicting watermelon sweetness, eliminating the need for fruit destruction during routine quality assessments.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2"/>
                <w:szCs w:val="12"/>
                <w:rtl w:val="0"/>
              </w:rPr>
              <w:t xml:space="preserve">(you may attach additional pages if this space is lacking)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4"/>
        <w:gridCol w:w="7651"/>
        <w:tblGridChange w:id="0">
          <w:tblGrid>
            <w:gridCol w:w="1414"/>
            <w:gridCol w:w="765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ind w:left="-10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KEYWORDS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45kdwuufkc0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Acoustic sensing, frequency analysis, non-destructive assessment, °Brix estimation, soluble solids content, watermelon sweetness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-928549</wp:posOffset>
                </wp:positionH>
                <wp:positionV relativeFrom="paragraph">
                  <wp:posOffset>116477</wp:posOffset>
                </wp:positionV>
                <wp:extent cx="0" cy="12700"/>
                <wp:effectExtent b="0" l="0" r="0" t="0"/>
                <wp:wrapNone/>
                <wp:docPr id="2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68015" y="3780000"/>
                          <a:ext cx="69559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-928549</wp:posOffset>
                </wp:positionH>
                <wp:positionV relativeFrom="paragraph">
                  <wp:posOffset>116477</wp:posOffset>
                </wp:positionV>
                <wp:extent cx="0" cy="12700"/>
                <wp:effectExtent b="0" l="0" r="0" t="0"/>
                <wp:wrapNone/>
                <wp:docPr id="2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POTENTIAL RESEARCH ADVISER(S)</w:t>
      </w:r>
    </w:p>
    <w:tbl>
      <w:tblPr>
        <w:tblStyle w:val="Table7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13"/>
        <w:gridCol w:w="779"/>
        <w:gridCol w:w="780"/>
        <w:tblGridChange w:id="0">
          <w:tblGrid>
            <w:gridCol w:w="7513"/>
            <w:gridCol w:w="779"/>
            <w:gridCol w:w="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3657"/>
              </w:tabs>
              <w:spacing w:line="276" w:lineRule="auto"/>
              <w:ind w:left="-109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 be accomplished by the: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Subject Adviser/Department Chair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line="276" w:lineRule="auto"/>
              <w:ind w:left="-112" w:right="-105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Department Chair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ENGR. EULOGIO NEIL A. MALLILLIN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39440608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6e8f0"/>
                    <w:sz w:val="21"/>
                    <w:szCs w:val="21"/>
                    <w:shd w:fill="2c2e35" w:val="clear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16"/>
          <w:szCs w:val="16"/>
        </w:rPr>
        <w:sectPr>
          <w:headerReference r:id="rId10" w:type="default"/>
          <w:footerReference r:id="rId11" w:type="default"/>
          <w:pgSz w:h="16838" w:w="11906" w:orient="portrait"/>
          <w:pgMar w:bottom="567" w:top="851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Approved by:</w:t>
      </w:r>
    </w:p>
    <w:p w:rsidR="00000000" w:rsidDel="00000000" w:rsidP="00000000" w:rsidRDefault="00000000" w:rsidRPr="00000000" w14:paraId="00000049">
      <w:pPr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ENGR. EULOGIO NEIL A. MALLILLIN</w:t>
      </w:r>
    </w:p>
    <w:p w:rsidR="00000000" w:rsidDel="00000000" w:rsidP="00000000" w:rsidRDefault="00000000" w:rsidRPr="00000000" w14:paraId="0000004A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DEPARTMENT CHAIR</w:t>
      </w:r>
    </w:p>
    <w:p w:rsidR="00000000" w:rsidDel="00000000" w:rsidP="00000000" w:rsidRDefault="00000000" w:rsidRPr="00000000" w14:paraId="0000004B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</w:r>
    </w:p>
    <w:p w:rsidR="00000000" w:rsidDel="00000000" w:rsidP="00000000" w:rsidRDefault="00000000" w:rsidRPr="00000000" w14:paraId="0000004C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851" w:top="851" w:left="1418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Courier New"/>
  <w:font w:name="Arial Unicode MS"/>
  <w:font w:name="Old English Text MT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6024246</wp:posOffset>
              </wp:positionH>
              <wp:positionV relativeFrom="paragraph">
                <wp:posOffset>-263522</wp:posOffset>
              </wp:positionV>
              <wp:extent cx="486410" cy="739050"/>
              <wp:effectExtent b="0" l="0" r="0" t="0"/>
              <wp:wrapSquare wrapText="bothSides" distB="45720" distT="45720" distL="114300" distR="114300"/>
              <wp:docPr id="22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12320" y="3420000"/>
                        <a:ext cx="467360" cy="7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1/2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6024246</wp:posOffset>
              </wp:positionH>
              <wp:positionV relativeFrom="paragraph">
                <wp:posOffset>-263522</wp:posOffset>
              </wp:positionV>
              <wp:extent cx="486410" cy="739050"/>
              <wp:effectExtent b="0" l="0" r="0" t="0"/>
              <wp:wrapSquare wrapText="bothSides" distB="45720" distT="45720" distL="114300" distR="114300"/>
              <wp:docPr id="22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410" cy="73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81C1D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90307"/>
    <w:pPr>
      <w:spacing w:after="0" w:line="240" w:lineRule="auto"/>
    </w:pPr>
    <w:rPr>
      <w:lang w:val="en-A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aliases w:val="Information"/>
    <w:uiPriority w:val="1"/>
    <w:qFormat w:val="1"/>
    <w:rsid w:val="00C90307"/>
    <w:pPr>
      <w:spacing w:after="0" w:before="120" w:line="240" w:lineRule="auto"/>
    </w:pPr>
    <w:rPr>
      <w:rFonts w:ascii="Verdana" w:cs="Times New Roman" w:eastAsia="Calibri" w:hAnsi="Verdana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0AAE"/>
  </w:style>
  <w:style w:type="paragraph" w:styleId="Footer">
    <w:name w:val="footer"/>
    <w:basedOn w:val="Normal"/>
    <w:link w:val="Foot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0AAE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adkuHELK5NjBCIHJyNuk5jTGxA==">CgMxLjAaKgoBMBIlCiMIB0IfCgtDb3VyaWVyIE5ldxIQQXJpYWwgVW5pY29kZSBNUzIOaC5uNDVrZHd1dWZrYzAyDmgubjQ1a2R3dXVma2MwOAByITE3UHoxSFh2Q3l6amRZc1Z1N1dkcTkyRFpCdTdGMXdMdA==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2019-08-13T01:22:00Z</dcterms:created>
  <dc:creator>Cyrus Kelly Macabangon</dc:creator>
</cp:coreProperties>
</file>