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69"/>
        <w:tblGridChange w:id="0">
          <w:tblGrid>
            <w:gridCol w:w="2901"/>
            <w:gridCol w:w="6169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7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COEA-SR06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Comment Sheet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 reference material to be complied by the proponents as a basis for the final approval of the thesis paper. It may be photocopied by the proponents a day after the defense.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INFORMATION</w:t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8"/>
        <w:gridCol w:w="2402"/>
        <w:tblGridChange w:id="0">
          <w:tblGrid>
            <w:gridCol w:w="6668"/>
            <w:gridCol w:w="2402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Thesis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Date of Defense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Guzman, James Laurence S.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Aquino, Kaye Angelique O.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Roque, Celhesmerences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-10512790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Oral Proposal Defense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sdt>
              <w:sdtPr>
                <w:id w:val="-8892891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Final Oral Defense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2870"/>
        <w:gridCol w:w="1200"/>
        <w:tblGridChange w:id="0">
          <w:tblGrid>
            <w:gridCol w:w="5000"/>
            <w:gridCol w:w="2870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 of Panelist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Signature/Date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ENGR. OLIVER CAGUMBAY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 Hardware: Include the device hardware in the Input section of the IPO framework or remove it if it is not relevant to the study.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Statement of the Problem (SOP): Present the introductory discussion of the problem in paragraph form.</w:t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Objectives: Ensure that all stated objectives are addressed in Chapter 4.</w:t>
            </w:r>
          </w:p>
        </w:tc>
      </w:tr>
      <w:tr>
        <w:trPr>
          <w:cantSplit w:val="1"/>
          <w:trHeight w:val="94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Flowchart: Use the diamond symbol only for decision points or questions.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 Data and History: Provide specific and detailed information regarding the data and history included in the flowchart.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 Termination: Add an END symbol to indicate the completion of the process.</w:t>
            </w:r>
          </w:p>
        </w:tc>
      </w:tr>
    </w:tbl>
    <w:p w:rsidR="00000000" w:rsidDel="00000000" w:rsidP="00000000" w:rsidRDefault="00000000" w:rsidRPr="00000000" w14:paraId="00000035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2870"/>
        <w:gridCol w:w="1200"/>
        <w:tblGridChange w:id="0">
          <w:tblGrid>
            <w:gridCol w:w="5000"/>
            <w:gridCol w:w="2870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 of Panelist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Signature/Date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</w:tr>
      <w:tr>
        <w:trPr>
          <w:cantSplit w:val="1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ENGR. CRISTOPHER CAPILI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Title: Revise the title to explicitly include Brix measurement, the refractometer-based approach, and the acoustic method.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IPO Framework and Materials: Include the switch in the materials list, specifying its function for turning the device ON and OFF.</w:t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Frequency Detector: Enhance the existing frequency detector developed in Version 1 (V1) rather than developing an entirely new detector.</w:t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and Limitations: Remove the background noise if there is no Signal-to-Noise Ratio (SNR).</w:t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of Related Literature (RRL): Prioritize microphone-based studies rather than piezoelectric-based studies and include the applicable Brix measurement standard or threshold.</w:t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Materials and Components: Include the switch and other relevant components used in the final device design.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Design: Specify the device's power source and incorporate the anti-aliasing filter and other relevant components into the design, as applicable.</w:t>
            </w:r>
          </w:p>
        </w:tc>
      </w:tr>
      <w:tr>
        <w:trPr>
          <w:cantSplit w:val="1"/>
          <w:trHeight w:val="97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 Portability and Power Supply: Design the device to be portable and operate without external batteries.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sdt>
      <w:sdtPr>
        <w:lock w:val="contentLocked"/>
        <w:id w:val="-1342739877"/>
        <w:tag w:val="goog_rdk_2"/>
      </w:sdtPr>
      <w:sdtContent>
        <w:tbl>
          <w:tblPr>
            <w:tblStyle w:val="Table7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00"/>
            <w:gridCol w:w="2870"/>
            <w:gridCol w:w="1200"/>
            <w:tblGridChange w:id="0">
              <w:tblGrid>
                <w:gridCol w:w="5000"/>
                <w:gridCol w:w="2870"/>
                <w:gridCol w:w="120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Name of Panelist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Signature/Date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67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</w:tr>
          <w:tr>
            <w:trPr>
              <w:cantSplit w:val="1"/>
              <w:trHeight w:val="4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ENGR. AZEREEL C. SUOR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048"/>
        <w:gridCol w:w="7085"/>
        <w:tblGridChange w:id="0">
          <w:tblGrid>
            <w:gridCol w:w="937"/>
            <w:gridCol w:w="1048"/>
            <w:gridCol w:w="70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Line/Paragraph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Comments/Suggestions/Recommendations</w:t>
            </w:r>
          </w:p>
        </w:tc>
      </w:tr>
      <w:tr>
        <w:trPr>
          <w:cantSplit w:val="1"/>
          <w:trHeight w:val="1359.99999999999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Title: Revise the title to remove the term “ripeness” and incorporate the Brix measurement, refractometer, and acoustic approach.</w:t>
            </w:r>
          </w:p>
        </w:tc>
      </w:tr>
      <w:tr>
        <w:trPr>
          <w:cantSplit w:val="1"/>
          <w:trHeight w:val="1579.9999999999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Objectives: Remove the post-harvest aspect from the general objectives.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Prediction: Remove the prediction component from the study.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7.56410256410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Specific Objectives: Remove Objective 3.</w:t>
            </w:r>
          </w:p>
        </w:tc>
      </w:tr>
      <w:tr>
        <w:trPr>
          <w:cantSplit w:val="1"/>
          <w:trHeight w:val="880.0000000000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Alignment of Objectives: Realign the research objectives to ensure consistency with the title, methodology, and expected results.</w:t>
            </w:r>
          </w:p>
        </w:tc>
      </w:tr>
      <w:tr>
        <w:trPr>
          <w:cantSplit w:val="1"/>
          <w:trHeight w:val="880.0000000000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Watermelon Variety: Limit the study to one watermelon variety.</w:t>
            </w:r>
          </w:p>
        </w:tc>
      </w:tr>
      <w:tr>
        <w:trPr>
          <w:cantSplit w:val="1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of Related Literature (RRL): Include related studies on how long watermelon sweetness is maintained after harvest.</w:t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Frequency and Brix Relationship: Establish the relationship between frequency and Brix values using an appropriate standard or reference.</w:t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of Related Literature (RRL): Include relevant literature in the methodology to support the selected method and provide a basis for comparison.</w:t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Flowchart: Revise the flowchart to present a clear, sequential process. Remove unnecessary loops and repeat the flowchart revision as needed.</w:t>
            </w:r>
          </w:p>
        </w:tc>
      </w:tr>
      <w:tr>
        <w:trPr>
          <w:cantSplit w:val="1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Methodology: Select and use only one appropriate method.</w:t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1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COMMENT SHEET</w:t>
      </w:r>
    </w:p>
    <w:sdt>
      <w:sdtPr>
        <w:lock w:val="contentLocked"/>
        <w:id w:val="1409232257"/>
        <w:tag w:val="goog_rdk_3"/>
      </w:sdtPr>
      <w:sdtContent>
        <w:tbl>
          <w:tblPr>
            <w:tblStyle w:val="Table9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00"/>
            <w:gridCol w:w="2870"/>
            <w:gridCol w:w="1200"/>
            <w:tblGridChange w:id="0">
              <w:tblGrid>
                <w:gridCol w:w="5000"/>
                <w:gridCol w:w="2870"/>
                <w:gridCol w:w="120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Name of Panelist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Signature/Date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</w:tr>
          <w:tr>
            <w:trPr>
              <w:cantSplit w:val="1"/>
              <w:trHeight w:val="4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ENGR. MELOWIN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</w:t>
                </w:r>
                <w:hyperlink r:id="rId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Ñ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97">
                <w:pPr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0283472"/>
        <w:tag w:val="goog_rdk_4"/>
      </w:sdtPr>
      <w:sdtContent>
        <w:tbl>
          <w:tblPr>
            <w:tblStyle w:val="Table10"/>
            <w:tblW w:w="90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7"/>
            <w:gridCol w:w="1048"/>
            <w:gridCol w:w="7085"/>
            <w:tblGridChange w:id="0">
              <w:tblGrid>
                <w:gridCol w:w="937"/>
                <w:gridCol w:w="1048"/>
                <w:gridCol w:w="708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Page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Line/Paragraph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vAlign w:val="bottom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2"/>
                    <w:szCs w:val="12"/>
                    <w:rtl w:val="0"/>
                  </w:rPr>
                  <w:t xml:space="preserve">Comments/Suggestions/Recommendations</w:t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9E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Input-Process-Output (IPO) Framework: Place Brix measurement under the Process section.</w:t>
                </w:r>
              </w:p>
              <w:p w:rsidR="00000000" w:rsidDel="00000000" w:rsidP="00000000" w:rsidRDefault="00000000" w:rsidRPr="00000000" w14:paraId="0000009F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IPO Framework: Identify the actual Brix measurement as the Input and the watermelon ripeness status as the Output.</w:t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2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Research Design: Use the Developmental Research Design for the development and evaluation of the proposed device.</w:t>
                </w:r>
              </w:p>
              <w:p w:rsidR="00000000" w:rsidDel="00000000" w:rsidP="00000000" w:rsidRDefault="00000000" w:rsidRPr="00000000" w14:paraId="000000A3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Software and System Development Methodology: Apply the Agile Methodology for the iterative development, testing, and improvement of the software and system.</w:t>
                </w:r>
              </w:p>
            </w:tc>
          </w:tr>
          <w:tr>
            <w:trPr>
              <w:cantSplit w:val="1"/>
              <w:trHeight w:val="12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7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Chapter 3 – Materials and Components: Present the component name, image, and function of each material or component used in the study.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1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A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Flowchart: Revise the flowchart and ensure that the decision symbol is used only for questions or decision-making processes.</w:t>
                </w:r>
              </w:p>
            </w:tc>
          </w:tr>
          <w:tr>
            <w:trPr>
              <w:cantSplit w:val="1"/>
              <w:trHeight w:val="11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B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85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D">
                <w:pPr>
                  <w:spacing w:after="240" w:before="240" w:lineRule="auto"/>
                  <w:ind w:left="0" w:firstLine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References: Apply the required tabulation and indentation format to the reference list.</w:t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851" w:top="851" w:left="1418" w:right="1418" w:header="709" w:footer="5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Times New Roman"/>
  <w:font w:name="Old English Text 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6029643</wp:posOffset>
              </wp:positionH>
              <wp:positionV relativeFrom="paragraph">
                <wp:posOffset>82231</wp:posOffset>
              </wp:positionV>
              <wp:extent cx="496569" cy="296544"/>
              <wp:effectExtent b="0" l="0" r="0" t="0"/>
              <wp:wrapSquare wrapText="bothSides" distB="45720" distT="45720" distL="114300" distR="114300"/>
              <wp:docPr id="22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2003" y="3646016"/>
                        <a:ext cx="467994" cy="2679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6029643</wp:posOffset>
              </wp:positionH>
              <wp:positionV relativeFrom="paragraph">
                <wp:posOffset>82231</wp:posOffset>
              </wp:positionV>
              <wp:extent cx="496569" cy="296544"/>
              <wp:effectExtent b="0" l="0" r="0" t="0"/>
              <wp:wrapSquare wrapText="bothSides" distB="45720" distT="45720" distL="114300" distR="114300"/>
              <wp:docPr id="22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6569" cy="2965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en.wikipedia.org/wiki/%C3%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c3u07uhRI+3sHW2PmDoiRYP9Q==">CgMxLjAaMAoBMBIrCikIB0IlChFRdWF0dHJvY2VudG8gU2FucxIQQXJpYWwgVW5pY29kZSBNUxowCgExEisKKQgHQiUKEVF1YXR0cm9jZW50byBTYW5zEhBBcmlhbCBVbmljb2RlIE1TGh8KATISGgoYCAlSFAoSdGFibGUuemV0aTltd3h1amFkGh8KATMSGgoYCAlSFAoSdGFibGUuM2QzZGN2MnM3MWsxGh8KATQSGgoYCAlSFAoSdGFibGUud25kNHZ0dmw4MnFlOAByITFxZE1saWExZDB6QVlDVkh6ZXM2ZUVUUDhNbEgxSVR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  <dc:creator>Cyrus Kelly Macabangon</dc:creator>
</cp:coreProperties>
</file>