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sz w:val="16"/>
          <w:szCs w:val="16"/>
        </w:rPr>
        <w:sectPr>
          <w:headerReference r:id="rId7" w:type="default"/>
          <w:footerReference r:id="rId8" w:type="default"/>
          <w:pgSz w:h="16838" w:w="11906" w:orient="portrait"/>
          <w:pgMar w:bottom="851" w:top="851" w:left="1418" w:right="1418" w:header="709" w:footer="709"/>
          <w:pgNumType w:start="1"/>
          <w:cols w:equalWidth="0" w:num="2">
            <w:col w:space="708" w:w="4181"/>
            <w:col w:space="0" w:w="418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2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24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COEA-SR04</w:t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Consultation Form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serves as a record for consultations regarding the research of the proponent(s). Student Researchers and Research Advisers are expected to have at least 10 consultation meetings per semester.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 of a Localized Real-Time Frequency Monitoring System for Structural Health Monitoring Using MEMS IMUs and ESP32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PROPONENT(S)</w:t>
      </w:r>
    </w:p>
    <w:tbl>
      <w:tblPr>
        <w:tblStyle w:val="Table3"/>
        <w:tblW w:w="9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789"/>
        <w:tblGridChange w:id="0">
          <w:tblGrid>
            <w:gridCol w:w="1276"/>
            <w:gridCol w:w="77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Proponent(s)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[RESEARCHER NAME]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Research Adviser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 ADVISER NAME]</w:t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CONSULTATIONS</w:t>
      </w:r>
    </w:p>
    <w:tbl>
      <w:tblPr>
        <w:tblStyle w:val="Table4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1215"/>
        <w:gridCol w:w="1305"/>
        <w:gridCol w:w="2865"/>
        <w:gridCol w:w="1575"/>
        <w:tblGridChange w:id="0">
          <w:tblGrid>
            <w:gridCol w:w="2085"/>
            <w:gridCol w:w="1215"/>
            <w:gridCol w:w="1305"/>
            <w:gridCol w:w="2865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Topic/Area/Content of Consultation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Adviser’s 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highlight w:val="yellow"/>
              </w:rPr>
              <w:t>[DATE]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highlight w:val="yellow"/>
              </w:rPr>
              <w:t>[TIME]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highlight w:val="yellow"/>
              </w:rPr>
              <w:t>[PLACE]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highlight w:val="yellow"/>
              </w:rPr>
              <w:t>[CONSULTATION TOPIC]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83593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Times New Roman"/>
  <w:font w:name="Old English Text M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6029326</wp:posOffset>
              </wp:positionH>
              <wp:positionV relativeFrom="paragraph">
                <wp:posOffset>-125727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1/2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6029326</wp:posOffset>
              </wp:positionH>
              <wp:positionV relativeFrom="paragraph">
                <wp:posOffset>-125727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410" cy="73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iLOeaYtPDGaqtR1kVYZa6Rhx5g==">CgMxLjA4AHIhMXNKUkpwZ2RXYjdVOHdzTWpnOW9qUXhUZUx2WHVDMjNI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</cp:coreProperties>
</file>