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 (placeholder)</w:t>
      </w:r>
      <w:r>
        <w:tab/>
        <w:t>38</w:t>
      </w:r>
    </w:p>
    <w:p w14:paraId="7DE25326" w14:textId="77777777" w:rsidR="00FB1316" w:rsidRDefault="00127566">
      <w:pPr>
        <w:pStyle w:val="Figures"/>
      </w:pPr>
      <w:r>
        <w:t>3.3. PCB layout (placeholder)</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 (Cooley &amp; Tukey, 1965; Gaviña et al., 2017; Payawal et al., 2017; Lau et al., 2018).</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existing concrete bridges,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describes the USHER system as a project using accelerographic sensing with web and mobile access for structural monitoring around strong earthquakes. This is an institutional project description, not an independent performance evaluation; its stated purpose and sensing arrangement differ from the present traffic-conditioned bridge baseline study (PCIEERD, n.d.).</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Before formal data collection, the methods record and final manuscript will identify the board revision and component markings; surveyed roadway-deck station, attachment method, and orientation; channel scan order and measured per-channel sampling rate; session and analysis-window duration; analysis band and estimator settings; external USB-C supply and wireless data path; software and library versions; and raw-data and summary fields. Enter each value only from the final board inspection, bench record, survey and site-approval record, frozen pilot protocol, or source-controlled software configuration. Mark unavailable values as pending; do not infer them from the schematic alone.</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5577840" cy="2944368"/>
            <wp:effectExtent l="0" t="0" r="0" b="0"/>
            <wp:docPr id="1053113266" name="Picture 1053113266" descr="Blank white placeholder for the device schematic; black border." title="Device schematic diagram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5577840"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 (placeholder)</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Blank white placeholder for the PCB layout; black border." title="PCB layou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(placeholder)</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(n.d.). Universal Structural Health Evaluation Monitoring (USHER) System. https://projects.pcieerd.dost.gov.ph/project/8070</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