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 (placeholder)</w:t>
      </w:r>
      <w:r>
        <w:tab/>
        <w:t>38</w:t>
      </w:r>
    </w:p>
    <w:p w14:paraId="7DE25326" w14:textId="77777777" w:rsidR="00FB1316" w:rsidRDefault="00127566">
      <w:pPr>
        <w:pStyle w:val="Figures"/>
      </w:pPr>
      <w:r>
        <w:t>3.3. PCB layout (placeholder)</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existing concrete bridges,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describes the USHER system as a project using accelerographic sensing with web and mobile access for structural monitoring around strong earthquakes. This is an institutional project description, not an independent performance evaluation; its stated purpose and sensing arrangement differ from the present traffic-conditioned bridge baseline study (PCIEERD, n.d.).</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 (placeholder)</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describes a continuous-count-station AADT method that can use hourly or other temporal intervals and gives 5-minute and 1-minute records as examples; this traffic-volume procedure does not validate the present study’s 10-minute vibration/count pairing. The 2013 guide describes typical short-duration roadway counts as 24 hours, 48 hours, or one week. Here, each 10-minute count is concurrent context for a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