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D7EA" w14:textId="6419AD58" w:rsidR="00792304" w:rsidRDefault="00965071" w:rsidP="0096507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CBD </w:t>
      </w:r>
      <w:r w:rsidR="007064AE">
        <w:rPr>
          <w:rFonts w:ascii="Times New Roman" w:hAnsi="Times New Roman" w:cs="Times New Roman"/>
          <w:sz w:val="24"/>
          <w:szCs w:val="24"/>
        </w:rPr>
        <w:t xml:space="preserve">and Low THC </w:t>
      </w:r>
      <w:r>
        <w:rPr>
          <w:rFonts w:ascii="Times New Roman" w:hAnsi="Times New Roman" w:cs="Times New Roman"/>
          <w:sz w:val="24"/>
          <w:szCs w:val="24"/>
        </w:rPr>
        <w:t>as a</w:t>
      </w:r>
      <w:r w:rsidR="007064AE">
        <w:rPr>
          <w:rFonts w:ascii="Times New Roman" w:hAnsi="Times New Roman" w:cs="Times New Roman"/>
          <w:sz w:val="24"/>
          <w:szCs w:val="24"/>
        </w:rPr>
        <w:t>n</w:t>
      </w:r>
      <w:r>
        <w:rPr>
          <w:rFonts w:ascii="Times New Roman" w:hAnsi="Times New Roman" w:cs="Times New Roman"/>
          <w:sz w:val="24"/>
          <w:szCs w:val="24"/>
        </w:rPr>
        <w:t xml:space="preserve"> </w:t>
      </w:r>
      <w:r w:rsidR="007064AE">
        <w:rPr>
          <w:rFonts w:ascii="Times New Roman" w:hAnsi="Times New Roman" w:cs="Times New Roman"/>
          <w:sz w:val="24"/>
          <w:szCs w:val="24"/>
        </w:rPr>
        <w:t xml:space="preserve">Alternative </w:t>
      </w:r>
      <w:r>
        <w:rPr>
          <w:rFonts w:ascii="Times New Roman" w:hAnsi="Times New Roman" w:cs="Times New Roman"/>
          <w:sz w:val="24"/>
          <w:szCs w:val="24"/>
        </w:rPr>
        <w:t>Therapeutic Aid in Pain Relief</w:t>
      </w:r>
    </w:p>
    <w:p w14:paraId="0DED0D0C" w14:textId="77777777" w:rsidR="00753FBD" w:rsidRDefault="001B3C1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819C9">
        <w:rPr>
          <w:rFonts w:ascii="Times New Roman" w:hAnsi="Times New Roman" w:cs="Times New Roman"/>
          <w:sz w:val="24"/>
          <w:szCs w:val="24"/>
        </w:rPr>
        <w:t>C</w:t>
      </w:r>
      <w:r>
        <w:rPr>
          <w:rFonts w:ascii="Times New Roman" w:hAnsi="Times New Roman" w:cs="Times New Roman"/>
          <w:sz w:val="24"/>
          <w:szCs w:val="24"/>
        </w:rPr>
        <w:t xml:space="preserve">entral Asian native plant, Cannabis Sativa, is </w:t>
      </w:r>
      <w:r w:rsidR="00C819C9">
        <w:rPr>
          <w:rFonts w:ascii="Times New Roman" w:hAnsi="Times New Roman" w:cs="Times New Roman"/>
          <w:sz w:val="24"/>
          <w:szCs w:val="24"/>
        </w:rPr>
        <w:t>a</w:t>
      </w:r>
      <w:r>
        <w:rPr>
          <w:rFonts w:ascii="Times New Roman" w:hAnsi="Times New Roman" w:cs="Times New Roman"/>
          <w:sz w:val="24"/>
          <w:szCs w:val="24"/>
        </w:rPr>
        <w:t xml:space="preserve"> shrub consumed by an estimated 200-300 million people all around the world as teas, smoke, pills, suppositories, </w:t>
      </w:r>
      <w:r w:rsidR="00A640EB">
        <w:rPr>
          <w:rFonts w:ascii="Times New Roman" w:hAnsi="Times New Roman" w:cs="Times New Roman"/>
          <w:sz w:val="24"/>
          <w:szCs w:val="24"/>
        </w:rPr>
        <w:t xml:space="preserve">eye drops, oral </w:t>
      </w:r>
      <w:r>
        <w:rPr>
          <w:rFonts w:ascii="Times New Roman" w:hAnsi="Times New Roman" w:cs="Times New Roman"/>
          <w:sz w:val="24"/>
          <w:szCs w:val="24"/>
        </w:rPr>
        <w:t>buccal sprays, and other forms for therapeutic benefits (</w:t>
      </w:r>
      <w:r w:rsidRPr="001B3C1E">
        <w:rPr>
          <w:rFonts w:ascii="Times New Roman" w:hAnsi="Times New Roman" w:cs="Times New Roman"/>
          <w:sz w:val="24"/>
          <w:szCs w:val="24"/>
        </w:rPr>
        <w:t>Gonçalves, J., Rosado, T., Soares, S., Simão, A., Caramelo, D., Luís, A., Fernández, N., Barroso, M., Gallardo, E., and Duarte, A.</w:t>
      </w:r>
      <w:r w:rsidR="00C819C9">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12160F">
        <w:rPr>
          <w:rFonts w:ascii="Times New Roman" w:hAnsi="Times New Roman" w:cs="Times New Roman"/>
          <w:sz w:val="24"/>
          <w:szCs w:val="24"/>
        </w:rPr>
        <w:t xml:space="preserve">Cannabidiol (CBD) is a cannabis derivative without psychotropic effects and has been shown to have a role to play in reducing pro-inflammatory proteins in the brain, such as </w:t>
      </w:r>
      <w:r w:rsidR="0012160F" w:rsidRPr="0012160F">
        <w:rPr>
          <w:rFonts w:ascii="Times New Roman" w:hAnsi="Times New Roman" w:cs="Times New Roman"/>
          <w:i/>
          <w:iCs/>
          <w:sz w:val="24"/>
          <w:szCs w:val="24"/>
        </w:rPr>
        <w:t>TNFA</w:t>
      </w:r>
      <w:r w:rsidR="0012160F">
        <w:rPr>
          <w:rFonts w:ascii="Times New Roman" w:hAnsi="Times New Roman" w:cs="Times New Roman"/>
          <w:sz w:val="24"/>
          <w:szCs w:val="24"/>
        </w:rPr>
        <w:t xml:space="preserve">, </w:t>
      </w:r>
      <w:r w:rsidR="0012160F" w:rsidRPr="0012160F">
        <w:rPr>
          <w:rFonts w:ascii="Times New Roman" w:hAnsi="Times New Roman" w:cs="Times New Roman"/>
          <w:i/>
          <w:iCs/>
          <w:sz w:val="24"/>
          <w:szCs w:val="24"/>
        </w:rPr>
        <w:t>S100B</w:t>
      </w:r>
      <w:r w:rsidR="0012160F">
        <w:rPr>
          <w:rFonts w:ascii="Times New Roman" w:hAnsi="Times New Roman" w:cs="Times New Roman"/>
          <w:sz w:val="24"/>
          <w:szCs w:val="24"/>
        </w:rPr>
        <w:t xml:space="preserve">, and </w:t>
      </w:r>
      <w:r w:rsidR="0012160F" w:rsidRPr="0012160F">
        <w:rPr>
          <w:rFonts w:ascii="Times New Roman" w:hAnsi="Times New Roman" w:cs="Times New Roman"/>
          <w:i/>
          <w:iCs/>
          <w:sz w:val="24"/>
          <w:szCs w:val="24"/>
        </w:rPr>
        <w:t>IL-1B</w:t>
      </w:r>
      <w:r w:rsidR="0012160F">
        <w:rPr>
          <w:rFonts w:ascii="Times New Roman" w:hAnsi="Times New Roman" w:cs="Times New Roman"/>
          <w:i/>
          <w:iCs/>
          <w:sz w:val="24"/>
          <w:szCs w:val="24"/>
        </w:rPr>
        <w:t xml:space="preserve"> </w:t>
      </w:r>
      <w:r w:rsidR="0012160F">
        <w:rPr>
          <w:rFonts w:ascii="Times New Roman" w:hAnsi="Times New Roman" w:cs="Times New Roman"/>
          <w:sz w:val="24"/>
          <w:szCs w:val="24"/>
        </w:rPr>
        <w:t>(</w:t>
      </w:r>
      <w:r w:rsidR="0012160F" w:rsidRPr="0012160F">
        <w:rPr>
          <w:rFonts w:ascii="Times New Roman" w:hAnsi="Times New Roman" w:cs="Times New Roman"/>
          <w:sz w:val="24"/>
          <w:szCs w:val="24"/>
        </w:rPr>
        <w:t>Esposito, G., Scuderi, C., Valenza, M., Togna, G., Latina, V., et al.</w:t>
      </w:r>
      <w:r w:rsidR="0012160F">
        <w:rPr>
          <w:rFonts w:ascii="Times New Roman" w:hAnsi="Times New Roman" w:cs="Times New Roman"/>
          <w:sz w:val="24"/>
          <w:szCs w:val="24"/>
        </w:rPr>
        <w:t xml:space="preserve">, </w:t>
      </w:r>
      <w:r w:rsidR="0012160F" w:rsidRPr="0012160F">
        <w:rPr>
          <w:rFonts w:ascii="Times New Roman" w:hAnsi="Times New Roman" w:cs="Times New Roman"/>
          <w:sz w:val="24"/>
          <w:szCs w:val="24"/>
        </w:rPr>
        <w:t>2011)</w:t>
      </w:r>
      <w:r w:rsidR="0012160F">
        <w:rPr>
          <w:rFonts w:ascii="Times New Roman" w:hAnsi="Times New Roman" w:cs="Times New Roman"/>
          <w:sz w:val="24"/>
          <w:szCs w:val="24"/>
        </w:rPr>
        <w:t>. CBD is a therapeutic being used in research to treat Alzheimer’s disease (AD) and has shown in rats that it stimulates neuronal growth (Esposito, et al., 2011).</w:t>
      </w:r>
      <w:r w:rsidR="00C41A70">
        <w:rPr>
          <w:rFonts w:ascii="Times New Roman" w:hAnsi="Times New Roman" w:cs="Times New Roman"/>
          <w:sz w:val="24"/>
          <w:szCs w:val="24"/>
        </w:rPr>
        <w:t xml:space="preserve"> CBD is also found to have no side effects as an anti-tumor cancer drug in brain tumor gliomas </w:t>
      </w:r>
      <w:r w:rsidR="00E05E1C">
        <w:rPr>
          <w:rFonts w:ascii="Times New Roman" w:hAnsi="Times New Roman" w:cs="Times New Roman"/>
          <w:sz w:val="24"/>
          <w:szCs w:val="24"/>
        </w:rPr>
        <w:t>that</w:t>
      </w:r>
      <w:r w:rsidR="00C41A70">
        <w:rPr>
          <w:rFonts w:ascii="Times New Roman" w:hAnsi="Times New Roman" w:cs="Times New Roman"/>
          <w:sz w:val="24"/>
          <w:szCs w:val="24"/>
        </w:rPr>
        <w:t xml:space="preserve"> inhibit</w:t>
      </w:r>
      <w:r w:rsidR="00E05E1C">
        <w:rPr>
          <w:rFonts w:ascii="Times New Roman" w:hAnsi="Times New Roman" w:cs="Times New Roman"/>
          <w:sz w:val="24"/>
          <w:szCs w:val="24"/>
        </w:rPr>
        <w:t>s</w:t>
      </w:r>
      <w:r w:rsidR="00C41A70">
        <w:rPr>
          <w:rFonts w:ascii="Times New Roman" w:hAnsi="Times New Roman" w:cs="Times New Roman"/>
          <w:sz w:val="24"/>
          <w:szCs w:val="24"/>
        </w:rPr>
        <w:t xml:space="preserve"> the many proteins involved in tumor cell division and spreading </w:t>
      </w:r>
      <w:r w:rsidR="00B63B99">
        <w:rPr>
          <w:rFonts w:ascii="Times New Roman" w:hAnsi="Times New Roman" w:cs="Times New Roman"/>
          <w:sz w:val="24"/>
          <w:szCs w:val="24"/>
        </w:rPr>
        <w:t>from</w:t>
      </w:r>
      <w:r w:rsidR="00C41A70">
        <w:rPr>
          <w:rFonts w:ascii="Times New Roman" w:hAnsi="Times New Roman" w:cs="Times New Roman"/>
          <w:sz w:val="24"/>
          <w:szCs w:val="24"/>
        </w:rPr>
        <w:t xml:space="preserve"> the </w:t>
      </w:r>
      <w:r w:rsidR="00B63B99">
        <w:rPr>
          <w:rFonts w:ascii="Times New Roman" w:hAnsi="Times New Roman" w:cs="Times New Roman"/>
          <w:sz w:val="24"/>
          <w:szCs w:val="24"/>
        </w:rPr>
        <w:t xml:space="preserve">malignant </w:t>
      </w:r>
      <w:r w:rsidR="00C41A70">
        <w:rPr>
          <w:rFonts w:ascii="Times New Roman" w:hAnsi="Times New Roman" w:cs="Times New Roman"/>
          <w:sz w:val="24"/>
          <w:szCs w:val="24"/>
        </w:rPr>
        <w:t>tumor to healthy brain tissue (</w:t>
      </w:r>
      <w:r w:rsidR="00C41A70" w:rsidRPr="00C41A70">
        <w:rPr>
          <w:rFonts w:ascii="Times New Roman" w:hAnsi="Times New Roman" w:cs="Times New Roman"/>
          <w:sz w:val="24"/>
          <w:szCs w:val="24"/>
        </w:rPr>
        <w:t>Solinas, M., Massi, P., Cinquina, V., Valenti, M., Bolognini, D., et al.</w:t>
      </w:r>
      <w:r w:rsidR="00C41A70">
        <w:rPr>
          <w:rFonts w:ascii="Times New Roman" w:hAnsi="Times New Roman" w:cs="Times New Roman"/>
          <w:sz w:val="24"/>
          <w:szCs w:val="24"/>
        </w:rPr>
        <w:t xml:space="preserve">, </w:t>
      </w:r>
      <w:r w:rsidR="00C41A70" w:rsidRPr="00C41A70">
        <w:rPr>
          <w:rFonts w:ascii="Times New Roman" w:hAnsi="Times New Roman" w:cs="Times New Roman"/>
          <w:sz w:val="24"/>
          <w:szCs w:val="24"/>
        </w:rPr>
        <w:t>2013)</w:t>
      </w:r>
      <w:r w:rsidR="00C41A70">
        <w:rPr>
          <w:rFonts w:ascii="Times New Roman" w:hAnsi="Times New Roman" w:cs="Times New Roman"/>
          <w:sz w:val="24"/>
          <w:szCs w:val="24"/>
        </w:rPr>
        <w:t>.</w:t>
      </w:r>
      <w:r w:rsidR="00E05E1C">
        <w:rPr>
          <w:rFonts w:ascii="Times New Roman" w:hAnsi="Times New Roman" w:cs="Times New Roman"/>
          <w:sz w:val="24"/>
          <w:szCs w:val="24"/>
        </w:rPr>
        <w:t xml:space="preserve"> CBD has also been shown to restore gut homeostasis in irritable bowel diseases such as ulcerative colitis (UC) by lowering production of the inflammatory protein S100B and protecting the intestinal wall (</w:t>
      </w:r>
      <w:r w:rsidR="00E05E1C" w:rsidRPr="000D51A2">
        <w:rPr>
          <w:rFonts w:ascii="Times New Roman" w:hAnsi="Times New Roman" w:cs="Times New Roman"/>
          <w:sz w:val="24"/>
          <w:szCs w:val="24"/>
        </w:rPr>
        <w:t xml:space="preserve">De Filippis, D., Esposito, G., Cirillo, C., Cipriano, M., </w:t>
      </w:r>
      <w:r w:rsidR="00E05E1C">
        <w:rPr>
          <w:rFonts w:ascii="Times New Roman" w:hAnsi="Times New Roman" w:cs="Times New Roman"/>
          <w:sz w:val="24"/>
          <w:szCs w:val="24"/>
        </w:rPr>
        <w:t xml:space="preserve">and </w:t>
      </w:r>
      <w:r w:rsidR="00E05E1C" w:rsidRPr="000D51A2">
        <w:rPr>
          <w:rFonts w:ascii="Times New Roman" w:hAnsi="Times New Roman" w:cs="Times New Roman"/>
          <w:sz w:val="24"/>
          <w:szCs w:val="24"/>
        </w:rPr>
        <w:t>De Winter, B., et al.</w:t>
      </w:r>
      <w:r w:rsidR="00E05E1C">
        <w:rPr>
          <w:rFonts w:ascii="Times New Roman" w:hAnsi="Times New Roman" w:cs="Times New Roman"/>
          <w:sz w:val="24"/>
          <w:szCs w:val="24"/>
        </w:rPr>
        <w:t xml:space="preserve">, </w:t>
      </w:r>
      <w:r w:rsidR="00E05E1C" w:rsidRPr="000D51A2">
        <w:rPr>
          <w:rFonts w:ascii="Times New Roman" w:hAnsi="Times New Roman" w:cs="Times New Roman"/>
          <w:sz w:val="24"/>
          <w:szCs w:val="24"/>
        </w:rPr>
        <w:t>2011)</w:t>
      </w:r>
      <w:r w:rsidR="00E05E1C">
        <w:rPr>
          <w:rFonts w:ascii="Times New Roman" w:hAnsi="Times New Roman" w:cs="Times New Roman"/>
          <w:sz w:val="24"/>
          <w:szCs w:val="24"/>
        </w:rPr>
        <w:t>.</w:t>
      </w:r>
    </w:p>
    <w:p w14:paraId="1A635C98" w14:textId="564E1E4B" w:rsidR="00E05E1C" w:rsidRPr="0012160F" w:rsidRDefault="00E05E1C"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Tetrahydrocannabinol (THC) is a psychoactive cannabinoid that can cause anxiety, hallucinations, euphoria, and paranoia but when used in varying limited ratios with CBD can have beneficial self-reported effects of helping neuropathic pain, insomnia, anorexia, post-traumatic stress disorder (PTSD), depression, nausea, and spasticity (</w:t>
      </w:r>
      <w:r w:rsidRPr="00B531FA">
        <w:rPr>
          <w:rFonts w:ascii="Times New Roman" w:hAnsi="Times New Roman" w:cs="Times New Roman"/>
          <w:sz w:val="24"/>
          <w:szCs w:val="24"/>
        </w:rPr>
        <w:t>Casarett, D., Beliveau, J., and Arbus, M.,</w:t>
      </w:r>
      <w:r>
        <w:rPr>
          <w:rFonts w:ascii="Times New Roman" w:hAnsi="Times New Roman" w:cs="Times New Roman"/>
          <w:sz w:val="24"/>
          <w:szCs w:val="24"/>
        </w:rPr>
        <w:t xml:space="preserve"> </w:t>
      </w:r>
      <w:r w:rsidRPr="00B531FA">
        <w:rPr>
          <w:rFonts w:ascii="Times New Roman" w:hAnsi="Times New Roman" w:cs="Times New Roman"/>
          <w:sz w:val="24"/>
          <w:szCs w:val="24"/>
        </w:rPr>
        <w:t>2019</w:t>
      </w:r>
      <w:r>
        <w:rPr>
          <w:rFonts w:ascii="Times New Roman" w:hAnsi="Times New Roman" w:cs="Times New Roman"/>
          <w:sz w:val="24"/>
          <w:szCs w:val="24"/>
        </w:rPr>
        <w:t xml:space="preserve">). The treatment of Parkinson disease (PD), fibromyalgia, cancer pain, epilepsy, AD, and Multiple Sclerosis (MS) have shown some instances of benefits to using CBD in combination with THC to manage pain and other symptoms of those diseases (Goncalves, et </w:t>
      </w:r>
      <w:r>
        <w:rPr>
          <w:rFonts w:ascii="Times New Roman" w:hAnsi="Times New Roman" w:cs="Times New Roman"/>
          <w:sz w:val="24"/>
          <w:szCs w:val="24"/>
        </w:rPr>
        <w:lastRenderedPageBreak/>
        <w:t>al., 2019). Users of THC and CBD together in a high THC to CBD ratio have been shown to have higher affinity towards negative psychotherapeutic effects by impairing memory and leading to psychosis (</w:t>
      </w:r>
      <w:r w:rsidRPr="00DB0A32">
        <w:rPr>
          <w:rFonts w:ascii="Times New Roman" w:hAnsi="Times New Roman" w:cs="Times New Roman"/>
          <w:sz w:val="24"/>
          <w:szCs w:val="24"/>
        </w:rPr>
        <w:t>Swift, W., Wong, A., Li, K., Arnold, J., and McGregor, I.</w:t>
      </w:r>
      <w:r>
        <w:rPr>
          <w:rFonts w:ascii="Times New Roman" w:hAnsi="Times New Roman" w:cs="Times New Roman"/>
          <w:sz w:val="24"/>
          <w:szCs w:val="24"/>
        </w:rPr>
        <w:t xml:space="preserve">, </w:t>
      </w:r>
      <w:r w:rsidRPr="00DB0A32">
        <w:rPr>
          <w:rFonts w:ascii="Times New Roman" w:hAnsi="Times New Roman" w:cs="Times New Roman"/>
          <w:sz w:val="24"/>
          <w:szCs w:val="24"/>
        </w:rPr>
        <w:t>2013)</w:t>
      </w:r>
      <w:r>
        <w:rPr>
          <w:rFonts w:ascii="Times New Roman" w:hAnsi="Times New Roman" w:cs="Times New Roman"/>
          <w:sz w:val="24"/>
          <w:szCs w:val="24"/>
        </w:rPr>
        <w:t xml:space="preserve">. </w:t>
      </w:r>
    </w:p>
    <w:p w14:paraId="55317C08" w14:textId="5A1A4B1E" w:rsidR="00965071" w:rsidRDefault="00C819C9"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THC is more lipophilic or fat-loving, therefore it is absorbed more readily than CBD and stores longer in the fat layers of the body. As a topical application for either of these cannabinoids, the CBD version is able to cross the skin barrier better than THC</w:t>
      </w:r>
      <w:r w:rsidRPr="00C819C9">
        <w:rPr>
          <w:rFonts w:ascii="Times New Roman" w:hAnsi="Times New Roman" w:cs="Times New Roman"/>
          <w:sz w:val="24"/>
          <w:szCs w:val="24"/>
        </w:rPr>
        <w:t xml:space="preserve"> </w:t>
      </w:r>
      <w:r>
        <w:rPr>
          <w:rFonts w:ascii="Times New Roman" w:hAnsi="Times New Roman" w:cs="Times New Roman"/>
          <w:sz w:val="24"/>
          <w:szCs w:val="24"/>
        </w:rPr>
        <w:t>(</w:t>
      </w:r>
      <w:r w:rsidRPr="001B3C1E">
        <w:rPr>
          <w:rFonts w:ascii="Times New Roman" w:hAnsi="Times New Roman" w:cs="Times New Roman"/>
          <w:sz w:val="24"/>
          <w:szCs w:val="24"/>
        </w:rPr>
        <w:t xml:space="preserve">Gonçalves, </w:t>
      </w:r>
      <w:r>
        <w:rPr>
          <w:rFonts w:ascii="Times New Roman" w:hAnsi="Times New Roman" w:cs="Times New Roman"/>
          <w:sz w:val="24"/>
          <w:szCs w:val="24"/>
        </w:rPr>
        <w:t>et al</w:t>
      </w:r>
      <w:r w:rsidRPr="001B3C1E">
        <w:rPr>
          <w:rFonts w:ascii="Times New Roman" w:hAnsi="Times New Roman" w:cs="Times New Roman"/>
          <w:sz w:val="24"/>
          <w:szCs w:val="24"/>
        </w:rPr>
        <w:t>.</w:t>
      </w:r>
      <w:r>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2018A5">
        <w:rPr>
          <w:rFonts w:ascii="Times New Roman" w:hAnsi="Times New Roman" w:cs="Times New Roman"/>
          <w:sz w:val="24"/>
          <w:szCs w:val="24"/>
        </w:rPr>
        <w:t xml:space="preserve">The CB1 and CB2 receptors </w:t>
      </w:r>
      <w:r w:rsidR="00EE0B22">
        <w:rPr>
          <w:rFonts w:ascii="Times New Roman" w:hAnsi="Times New Roman" w:cs="Times New Roman"/>
          <w:sz w:val="24"/>
          <w:szCs w:val="24"/>
        </w:rPr>
        <w:t xml:space="preserve">make up </w:t>
      </w:r>
      <w:r w:rsidR="002018A5">
        <w:rPr>
          <w:rFonts w:ascii="Times New Roman" w:hAnsi="Times New Roman" w:cs="Times New Roman"/>
          <w:sz w:val="24"/>
          <w:szCs w:val="24"/>
        </w:rPr>
        <w:t xml:space="preserve">the </w:t>
      </w:r>
      <w:r w:rsidR="00EE0B22">
        <w:rPr>
          <w:rFonts w:ascii="Times New Roman" w:hAnsi="Times New Roman" w:cs="Times New Roman"/>
          <w:sz w:val="24"/>
          <w:szCs w:val="24"/>
        </w:rPr>
        <w:t xml:space="preserve">endocannabinoid system of the body and THC is the only one that directly effects either receptor, particularly the CB2 receptor with its </w:t>
      </w:r>
      <w:r w:rsidR="00E05E1C">
        <w:rPr>
          <w:rFonts w:ascii="Times New Roman" w:hAnsi="Times New Roman" w:cs="Times New Roman"/>
          <w:sz w:val="24"/>
          <w:szCs w:val="24"/>
        </w:rPr>
        <w:t>mixed psycho-therapeutic</w:t>
      </w:r>
      <w:r w:rsidR="00EE0B22">
        <w:rPr>
          <w:rFonts w:ascii="Times New Roman" w:hAnsi="Times New Roman" w:cs="Times New Roman"/>
          <w:sz w:val="24"/>
          <w:szCs w:val="24"/>
        </w:rPr>
        <w:t xml:space="preserve"> effects (</w:t>
      </w:r>
      <w:bookmarkStart w:id="0" w:name="_Hlk17040089"/>
      <w:r w:rsidR="00EE0B22">
        <w:rPr>
          <w:rFonts w:ascii="Times New Roman" w:hAnsi="Times New Roman" w:cs="Times New Roman"/>
          <w:sz w:val="24"/>
          <w:szCs w:val="24"/>
        </w:rPr>
        <w:t>Goncalves, et al., 2019</w:t>
      </w:r>
      <w:bookmarkEnd w:id="0"/>
      <w:r w:rsidR="00EE0B22">
        <w:rPr>
          <w:rFonts w:ascii="Times New Roman" w:hAnsi="Times New Roman" w:cs="Times New Roman"/>
          <w:sz w:val="24"/>
          <w:szCs w:val="24"/>
        </w:rPr>
        <w:t xml:space="preserve">). </w:t>
      </w:r>
      <w:r w:rsidR="001A0E78">
        <w:rPr>
          <w:rFonts w:ascii="Times New Roman" w:hAnsi="Times New Roman" w:cs="Times New Roman"/>
          <w:sz w:val="24"/>
          <w:szCs w:val="24"/>
        </w:rPr>
        <w:t>The CB2 receptors are found in the hematopoietic cells and the immune system of the leukocytes, spleen, and tonsils (Goncalves, et al., 2019). The CB1 receptor is found in the central nervous system (CNS), peripheral nervous system (PNS), some organs like the heart, spleen, digestive tract, urinary tract, reproductive tract, and in the leukocytes and endocrine glands (</w:t>
      </w:r>
      <w:r w:rsidR="001A0E78" w:rsidRPr="001A0E78">
        <w:rPr>
          <w:rFonts w:ascii="Times New Roman" w:hAnsi="Times New Roman" w:cs="Times New Roman"/>
          <w:sz w:val="24"/>
          <w:szCs w:val="24"/>
        </w:rPr>
        <w:t>Goncalves, et al., 2019</w:t>
      </w:r>
      <w:r w:rsidR="001A0E78">
        <w:rPr>
          <w:rFonts w:ascii="Times New Roman" w:hAnsi="Times New Roman" w:cs="Times New Roman"/>
          <w:sz w:val="24"/>
          <w:szCs w:val="24"/>
        </w:rPr>
        <w:t xml:space="preserve">). </w:t>
      </w:r>
      <w:r w:rsidR="00EE0B22">
        <w:rPr>
          <w:rFonts w:ascii="Times New Roman" w:hAnsi="Times New Roman" w:cs="Times New Roman"/>
          <w:sz w:val="24"/>
          <w:szCs w:val="24"/>
        </w:rPr>
        <w:t xml:space="preserve">CBD does not affect either endocannabinoid receptor but does indirectly </w:t>
      </w:r>
      <w:r w:rsidR="0058429E">
        <w:rPr>
          <w:rFonts w:ascii="Times New Roman" w:hAnsi="Times New Roman" w:cs="Times New Roman"/>
          <w:sz w:val="24"/>
          <w:szCs w:val="24"/>
        </w:rPr>
        <w:t>a</w:t>
      </w:r>
      <w:r w:rsidR="00EE0B22">
        <w:rPr>
          <w:rFonts w:ascii="Times New Roman" w:hAnsi="Times New Roman" w:cs="Times New Roman"/>
          <w:sz w:val="24"/>
          <w:szCs w:val="24"/>
        </w:rPr>
        <w:t>ffect the CB1 receptor by binding to the in-active sites that the cell membrane channels use to mediate physiological responses like sight, pain, pressure, temperature, and taste (Goncalves, et al., 2019).</w:t>
      </w:r>
    </w:p>
    <w:p w14:paraId="3DC09BDC" w14:textId="74875C9D" w:rsidR="00753FBD" w:rsidRDefault="00753FBD"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Cannabis is still considered a Schedule I drug but has been legalized in many US states and Canada</w:t>
      </w:r>
      <w:r w:rsidR="00CD114C">
        <w:rPr>
          <w:rFonts w:ascii="Times New Roman" w:hAnsi="Times New Roman" w:cs="Times New Roman"/>
          <w:sz w:val="24"/>
          <w:szCs w:val="24"/>
        </w:rPr>
        <w:t xml:space="preserve"> </w:t>
      </w:r>
      <w:r>
        <w:rPr>
          <w:rFonts w:ascii="Times New Roman" w:hAnsi="Times New Roman" w:cs="Times New Roman"/>
          <w:sz w:val="24"/>
          <w:szCs w:val="24"/>
        </w:rPr>
        <w:t>but is authorized to treat medical conditions and for scientific research by international law (Goncalves, et al., 2019).</w:t>
      </w:r>
    </w:p>
    <w:p w14:paraId="07F8F74A" w14:textId="788A721D" w:rsidR="00920E99" w:rsidRDefault="00C47C4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a study from GEO, GSE57571, samples were used to explore genes that summaries obtained from the gene data of the National Center for Bioinformatics Information </w:t>
      </w:r>
      <w:r w:rsidR="00931638">
        <w:rPr>
          <w:rFonts w:ascii="Times New Roman" w:hAnsi="Times New Roman" w:cs="Times New Roman"/>
          <w:sz w:val="24"/>
          <w:szCs w:val="24"/>
        </w:rPr>
        <w:t xml:space="preserve">(NCBI) </w:t>
      </w:r>
      <w:r>
        <w:rPr>
          <w:rFonts w:ascii="Times New Roman" w:hAnsi="Times New Roman" w:cs="Times New Roman"/>
          <w:sz w:val="24"/>
          <w:szCs w:val="24"/>
        </w:rPr>
        <w:t xml:space="preserve">at www.ncbi.nlm.nih.gov/gene to extract information about inflammation cytokines, receptors for cannabinoids, estrogen and other hormonal genes, and tumor growth and suppressor </w:t>
      </w:r>
      <w:r>
        <w:rPr>
          <w:rFonts w:ascii="Times New Roman" w:hAnsi="Times New Roman" w:cs="Times New Roman"/>
          <w:sz w:val="24"/>
          <w:szCs w:val="24"/>
        </w:rPr>
        <w:lastRenderedPageBreak/>
        <w:t>or apoptosis genes. In a</w:t>
      </w:r>
      <w:r w:rsidR="00931638">
        <w:rPr>
          <w:rFonts w:ascii="Times New Roman" w:hAnsi="Times New Roman" w:cs="Times New Roman"/>
          <w:sz w:val="24"/>
          <w:szCs w:val="24"/>
        </w:rPr>
        <w:t>n</w:t>
      </w:r>
      <w:r>
        <w:rPr>
          <w:rFonts w:ascii="Times New Roman" w:hAnsi="Times New Roman" w:cs="Times New Roman"/>
          <w:sz w:val="24"/>
          <w:szCs w:val="24"/>
        </w:rPr>
        <w:t xml:space="preserve"> exploratory data analysis of this data set. There were limited cell culture and simulated human sebum growth cultures used to assess the effects of the CBD cannabinoid on the hair follicles and arm hair follicles of sebum in three females that tested a control group in culture and the effects of a separate culture of that same sample 24 hours after applying CBD oil to the biological matter. There </w:t>
      </w:r>
      <w:r w:rsidR="00931638">
        <w:rPr>
          <w:rFonts w:ascii="Times New Roman" w:hAnsi="Times New Roman" w:cs="Times New Roman"/>
          <w:sz w:val="24"/>
          <w:szCs w:val="24"/>
        </w:rPr>
        <w:t>is</w:t>
      </w:r>
      <w:r>
        <w:rPr>
          <w:rFonts w:ascii="Times New Roman" w:hAnsi="Times New Roman" w:cs="Times New Roman"/>
          <w:sz w:val="24"/>
          <w:szCs w:val="24"/>
        </w:rPr>
        <w:t xml:space="preserve"> a total of five microarray samples in this data. The first sample is the original cell culture of sebum biological matter </w:t>
      </w:r>
      <w:r w:rsidR="00931638">
        <w:rPr>
          <w:rFonts w:ascii="Times New Roman" w:hAnsi="Times New Roman" w:cs="Times New Roman"/>
          <w:sz w:val="24"/>
          <w:szCs w:val="24"/>
        </w:rPr>
        <w:t xml:space="preserve">at the initialization of the experiment or the first hour of the 24 hours the study was done </w:t>
      </w:r>
      <w:r>
        <w:rPr>
          <w:rFonts w:ascii="Times New Roman" w:hAnsi="Times New Roman" w:cs="Times New Roman"/>
          <w:sz w:val="24"/>
          <w:szCs w:val="24"/>
        </w:rPr>
        <w:t xml:space="preserve">and ends in ‘Rep1.’ From this sample two other samples were derived to make similar copies for comparing control and CBD treated. Those samples end </w:t>
      </w:r>
      <w:r w:rsidR="00931638">
        <w:rPr>
          <w:rFonts w:ascii="Times New Roman" w:hAnsi="Times New Roman" w:cs="Times New Roman"/>
          <w:sz w:val="24"/>
          <w:szCs w:val="24"/>
        </w:rPr>
        <w:t>in ‘Rep2’ where the second ‘Rep2’ is a lab technical repeat. The other two samples are the values obtained 24 hours later from the control and separately from the CBD treated sample. They have sample names ending in either ‘CTRL’ or ‘CBD’ to identify which sample is which (</w:t>
      </w:r>
      <w:r w:rsidR="00931638" w:rsidRPr="00931638">
        <w:rPr>
          <w:rFonts w:ascii="Times New Roman" w:hAnsi="Times New Roman" w:cs="Times New Roman"/>
          <w:sz w:val="24"/>
          <w:szCs w:val="24"/>
        </w:rPr>
        <w:t>Oláh, Tóth, Borbíró, Sugawara, Szöllõsi, Czifra, Pál, Ambrus, Kloepper, Camera, Ludovici, Picardo, Voets, Zouboulis, Paus, and Bíró, 2014</w:t>
      </w:r>
      <w:r w:rsidR="00931638">
        <w:rPr>
          <w:rFonts w:ascii="Times New Roman" w:hAnsi="Times New Roman" w:cs="Times New Roman"/>
          <w:sz w:val="24"/>
          <w:szCs w:val="24"/>
        </w:rPr>
        <w:t xml:space="preserve">). </w:t>
      </w:r>
    </w:p>
    <w:p w14:paraId="70D92C6A" w14:textId="5F080728" w:rsidR="00931638" w:rsidRDefault="00931638"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 software the dplyr package was used to add fields that could take the differential expression (DE) of the final CBD treated sample of sebum minus the control or non-treated sebum sample, a magnitude field for the absolute value in the change from the CBD treated compared to the non-treated control group, and a fold change of the ratio of the CBD treated to control sample values after 24 hours. These fields were added to the end of this data on the sebum genes involved in inflammation, cell death or proliferation, tumor suppression or initialization, and cannabinoid receptors if the genes were in the data labeled as those genes obtained from NCBI. This </w:t>
      </w:r>
      <w:r w:rsidR="00765CD3">
        <w:rPr>
          <w:rFonts w:ascii="Times New Roman" w:hAnsi="Times New Roman" w:cs="Times New Roman"/>
          <w:sz w:val="24"/>
          <w:szCs w:val="24"/>
        </w:rPr>
        <w:t xml:space="preserve">final </w:t>
      </w:r>
      <w:r>
        <w:rPr>
          <w:rFonts w:ascii="Times New Roman" w:hAnsi="Times New Roman" w:cs="Times New Roman"/>
          <w:sz w:val="24"/>
          <w:szCs w:val="24"/>
        </w:rPr>
        <w:t>data set was uploaded to a personal online repository and can be ob</w:t>
      </w:r>
      <w:r w:rsidR="00765CD3">
        <w:rPr>
          <w:rFonts w:ascii="Times New Roman" w:hAnsi="Times New Roman" w:cs="Times New Roman"/>
          <w:sz w:val="24"/>
          <w:szCs w:val="24"/>
        </w:rPr>
        <w:t xml:space="preserve">tained from </w:t>
      </w:r>
      <w:hyperlink r:id="rId6" w:history="1">
        <w:r w:rsidR="00765CD3" w:rsidRPr="0057165D">
          <w:rPr>
            <w:rStyle w:val="Hyperlink"/>
            <w:rFonts w:ascii="Times New Roman" w:hAnsi="Times New Roman" w:cs="Times New Roman"/>
            <w:sz w:val="24"/>
            <w:szCs w:val="24"/>
          </w:rPr>
          <w:t>https://github.com/JanJanJan2018/CBD_pain_relief</w:t>
        </w:r>
        <w:r w:rsidR="00765CD3" w:rsidRPr="0057165D">
          <w:rPr>
            <w:rStyle w:val="Hyperlink"/>
            <w:rFonts w:ascii="Times New Roman" w:hAnsi="Times New Roman" w:cs="Times New Roman"/>
            <w:sz w:val="24"/>
            <w:szCs w:val="24"/>
          </w:rPr>
          <w:t>/</w:t>
        </w:r>
        <w:r w:rsidR="00765CD3" w:rsidRPr="0057165D">
          <w:rPr>
            <w:rStyle w:val="Hyperlink"/>
            <w:rFonts w:ascii="Times New Roman" w:hAnsi="Times New Roman" w:cs="Times New Roman"/>
            <w:sz w:val="24"/>
            <w:szCs w:val="24"/>
          </w:rPr>
          <w:t>DE_sebum_order.csv</w:t>
        </w:r>
      </w:hyperlink>
      <w:r w:rsidR="00765CD3">
        <w:rPr>
          <w:rFonts w:ascii="Times New Roman" w:hAnsi="Times New Roman" w:cs="Times New Roman"/>
          <w:sz w:val="24"/>
          <w:szCs w:val="24"/>
        </w:rPr>
        <w:t xml:space="preserve">. </w:t>
      </w:r>
    </w:p>
    <w:p w14:paraId="520782EA" w14:textId="3A6382D3" w:rsidR="00312698" w:rsidRDefault="00765CD3"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that data set, it is clear that some genes had a 50-90 per cent decrease in gene expression and some had more than 100% increase in expression in CBD treated sebum compared to non-treated sebum samples after 24 hours. The following table, Table 1, shows the highlighted genes as red that are more than 50</w:t>
      </w:r>
      <w:r w:rsidR="00233C76">
        <w:rPr>
          <w:rFonts w:ascii="Times New Roman" w:hAnsi="Times New Roman" w:cs="Times New Roman"/>
          <w:sz w:val="24"/>
          <w:szCs w:val="24"/>
        </w:rPr>
        <w:t xml:space="preserve"> per cent</w:t>
      </w:r>
      <w:r>
        <w:rPr>
          <w:rFonts w:ascii="Times New Roman" w:hAnsi="Times New Roman" w:cs="Times New Roman"/>
          <w:sz w:val="24"/>
          <w:szCs w:val="24"/>
        </w:rPr>
        <w:t xml:space="preserve"> increased or decreased in the CBD treated versus the non-treated sample of sebum. </w:t>
      </w:r>
      <w:r w:rsidR="00233C76">
        <w:rPr>
          <w:rFonts w:ascii="Times New Roman" w:hAnsi="Times New Roman" w:cs="Times New Roman"/>
          <w:sz w:val="24"/>
          <w:szCs w:val="24"/>
        </w:rPr>
        <w:t xml:space="preserve">There are four genes having a greater than 50 per cent increase in expression after being treated with CBD. Those genes having an increase are </w:t>
      </w:r>
      <w:r w:rsidR="00233C76" w:rsidRPr="00233C76">
        <w:rPr>
          <w:rFonts w:ascii="Times New Roman" w:hAnsi="Times New Roman" w:cs="Times New Roman"/>
          <w:i/>
          <w:iCs/>
          <w:sz w:val="24"/>
          <w:szCs w:val="24"/>
        </w:rPr>
        <w:t>TRIB3, TRAF1, ESR1,</w:t>
      </w:r>
      <w:r w:rsidR="00233C76">
        <w:rPr>
          <w:rFonts w:ascii="Times New Roman" w:hAnsi="Times New Roman" w:cs="Times New Roman"/>
          <w:sz w:val="24"/>
          <w:szCs w:val="24"/>
        </w:rPr>
        <w:t xml:space="preserve"> and </w:t>
      </w:r>
      <w:r w:rsidR="00233C76" w:rsidRPr="00233C76">
        <w:rPr>
          <w:rFonts w:ascii="Times New Roman" w:hAnsi="Times New Roman" w:cs="Times New Roman"/>
          <w:i/>
          <w:iCs/>
          <w:sz w:val="24"/>
          <w:szCs w:val="24"/>
        </w:rPr>
        <w:t>IL1B.</w:t>
      </w:r>
      <w:r w:rsidR="00233C76">
        <w:rPr>
          <w:rFonts w:ascii="Times New Roman" w:hAnsi="Times New Roman" w:cs="Times New Roman"/>
          <w:sz w:val="24"/>
          <w:szCs w:val="24"/>
        </w:rPr>
        <w:t xml:space="preserve"> These genes are summarized from </w:t>
      </w:r>
      <w:r w:rsidR="00233C76" w:rsidRPr="00337C10">
        <w:rPr>
          <w:rFonts w:ascii="Times New Roman" w:hAnsi="Times New Roman" w:cs="Times New Roman"/>
          <w:sz w:val="24"/>
          <w:szCs w:val="24"/>
        </w:rPr>
        <w:t>NCBI</w:t>
      </w:r>
      <w:r w:rsidR="00233C76">
        <w:rPr>
          <w:rFonts w:ascii="Times New Roman" w:hAnsi="Times New Roman" w:cs="Times New Roman"/>
          <w:sz w:val="24"/>
          <w:szCs w:val="24"/>
        </w:rPr>
        <w:t xml:space="preserve"> in this same data set. </w:t>
      </w:r>
      <w:r w:rsidR="00233C76" w:rsidRPr="00233C76">
        <w:rPr>
          <w:rFonts w:ascii="Times New Roman" w:hAnsi="Times New Roman" w:cs="Times New Roman"/>
          <w:i/>
          <w:iCs/>
          <w:sz w:val="24"/>
          <w:szCs w:val="24"/>
        </w:rPr>
        <w:t>TRIB</w:t>
      </w:r>
      <w:r w:rsidR="00337C10">
        <w:rPr>
          <w:rFonts w:ascii="Times New Roman" w:hAnsi="Times New Roman" w:cs="Times New Roman"/>
          <w:i/>
          <w:iCs/>
          <w:sz w:val="24"/>
          <w:szCs w:val="24"/>
        </w:rPr>
        <w:t xml:space="preserve"> </w:t>
      </w:r>
      <w:r w:rsidR="00337C10">
        <w:rPr>
          <w:rFonts w:ascii="Times New Roman" w:hAnsi="Times New Roman" w:cs="Times New Roman"/>
          <w:sz w:val="24"/>
          <w:szCs w:val="24"/>
        </w:rPr>
        <w:t>or</w:t>
      </w:r>
      <w:r w:rsidR="00337C10">
        <w:rPr>
          <w:rFonts w:ascii="Times New Roman" w:hAnsi="Times New Roman" w:cs="Times New Roman"/>
          <w:i/>
          <w:iCs/>
          <w:sz w:val="24"/>
          <w:szCs w:val="24"/>
        </w:rPr>
        <w:t xml:space="preserve"> </w:t>
      </w:r>
      <w:r w:rsidR="00337C10" w:rsidRPr="00337C10">
        <w:rPr>
          <w:rFonts w:ascii="Times New Roman" w:hAnsi="Times New Roman" w:cs="Times New Roman"/>
          <w:sz w:val="24"/>
          <w:szCs w:val="24"/>
        </w:rPr>
        <w:t>tribbles pseudokinase 3</w:t>
      </w:r>
      <w:r w:rsidR="00233C76" w:rsidRPr="00233C76">
        <w:rPr>
          <w:rFonts w:ascii="Times New Roman" w:hAnsi="Times New Roman" w:cs="Times New Roman"/>
          <w:i/>
          <w:iCs/>
          <w:sz w:val="24"/>
          <w:szCs w:val="24"/>
        </w:rPr>
        <w:t xml:space="preserve"> </w:t>
      </w:r>
      <w:r w:rsidR="00233C76">
        <w:rPr>
          <w:rFonts w:ascii="Times New Roman" w:hAnsi="Times New Roman" w:cs="Times New Roman"/>
          <w:sz w:val="24"/>
          <w:szCs w:val="24"/>
        </w:rPr>
        <w:t xml:space="preserve">and </w:t>
      </w:r>
      <w:r w:rsidR="00233C76" w:rsidRPr="00233C76">
        <w:rPr>
          <w:rFonts w:ascii="Times New Roman" w:hAnsi="Times New Roman" w:cs="Times New Roman"/>
          <w:i/>
          <w:iCs/>
          <w:sz w:val="24"/>
          <w:szCs w:val="24"/>
        </w:rPr>
        <w:t>TRAF1</w:t>
      </w:r>
      <w:r w:rsidR="00337C10">
        <w:rPr>
          <w:rFonts w:ascii="Times New Roman" w:hAnsi="Times New Roman" w:cs="Times New Roman"/>
          <w:i/>
          <w:iCs/>
          <w:sz w:val="24"/>
          <w:szCs w:val="24"/>
        </w:rPr>
        <w:t xml:space="preserve"> </w:t>
      </w:r>
      <w:r w:rsidR="00337C10" w:rsidRPr="00337C10">
        <w:rPr>
          <w:rFonts w:ascii="Times New Roman" w:hAnsi="Times New Roman" w:cs="Times New Roman"/>
          <w:sz w:val="24"/>
          <w:szCs w:val="24"/>
        </w:rPr>
        <w:t xml:space="preserve">or </w:t>
      </w:r>
      <w:r w:rsidR="00233C76" w:rsidRPr="00337C10">
        <w:rPr>
          <w:rFonts w:ascii="Times New Roman" w:hAnsi="Times New Roman" w:cs="Times New Roman"/>
          <w:sz w:val="24"/>
          <w:szCs w:val="24"/>
        </w:rPr>
        <w:t xml:space="preserve"> </w:t>
      </w:r>
      <w:r w:rsidR="00337C10" w:rsidRPr="00337C10">
        <w:rPr>
          <w:rFonts w:ascii="Times New Roman" w:hAnsi="Times New Roman" w:cs="Times New Roman"/>
          <w:sz w:val="24"/>
          <w:szCs w:val="24"/>
        </w:rPr>
        <w:t>TNF receptor associated factor 1</w:t>
      </w:r>
      <w:r w:rsidR="00337C10">
        <w:rPr>
          <w:rFonts w:ascii="Times New Roman" w:hAnsi="Times New Roman" w:cs="Times New Roman"/>
          <w:sz w:val="24"/>
          <w:szCs w:val="24"/>
        </w:rPr>
        <w:t xml:space="preserve"> </w:t>
      </w:r>
      <w:r w:rsidR="00233C76">
        <w:rPr>
          <w:rFonts w:ascii="Times New Roman" w:hAnsi="Times New Roman" w:cs="Times New Roman"/>
          <w:sz w:val="24"/>
          <w:szCs w:val="24"/>
        </w:rPr>
        <w:t xml:space="preserve">are involved in the process of tumor cell death. </w:t>
      </w:r>
      <w:r w:rsidR="00233C76" w:rsidRPr="00233C76">
        <w:rPr>
          <w:rFonts w:ascii="Times New Roman" w:hAnsi="Times New Roman" w:cs="Times New Roman"/>
          <w:i/>
          <w:iCs/>
          <w:sz w:val="24"/>
          <w:szCs w:val="24"/>
        </w:rPr>
        <w:t>ESR1</w:t>
      </w:r>
      <w:r w:rsidR="00233C76">
        <w:rPr>
          <w:rFonts w:ascii="Times New Roman" w:hAnsi="Times New Roman" w:cs="Times New Roman"/>
          <w:sz w:val="24"/>
          <w:szCs w:val="24"/>
        </w:rPr>
        <w:t xml:space="preserve"> </w:t>
      </w:r>
      <w:r w:rsidR="00337C10">
        <w:rPr>
          <w:rFonts w:ascii="Times New Roman" w:hAnsi="Times New Roman" w:cs="Times New Roman"/>
          <w:sz w:val="24"/>
          <w:szCs w:val="24"/>
        </w:rPr>
        <w:t xml:space="preserve">or </w:t>
      </w:r>
      <w:r w:rsidR="00337C10" w:rsidRPr="00337C10">
        <w:rPr>
          <w:rFonts w:ascii="Times New Roman" w:hAnsi="Times New Roman" w:cs="Times New Roman"/>
          <w:sz w:val="24"/>
          <w:szCs w:val="24"/>
        </w:rPr>
        <w:t>estrogen receptor 1</w:t>
      </w:r>
      <w:r w:rsidR="00337C10">
        <w:rPr>
          <w:rFonts w:ascii="Times New Roman" w:hAnsi="Times New Roman" w:cs="Times New Roman"/>
          <w:sz w:val="24"/>
          <w:szCs w:val="24"/>
        </w:rPr>
        <w:t xml:space="preserve"> </w:t>
      </w:r>
      <w:r w:rsidR="00233C76">
        <w:rPr>
          <w:rFonts w:ascii="Times New Roman" w:hAnsi="Times New Roman" w:cs="Times New Roman"/>
          <w:sz w:val="24"/>
          <w:szCs w:val="24"/>
        </w:rPr>
        <w:t xml:space="preserve">encodes an estrogen receptor that is used for hormonal and DNA binding as well as the transcription factor in the nucleus. </w:t>
      </w:r>
      <w:r w:rsidR="00233C76" w:rsidRPr="00337C10">
        <w:rPr>
          <w:rFonts w:ascii="Times New Roman" w:hAnsi="Times New Roman" w:cs="Times New Roman"/>
          <w:i/>
          <w:iCs/>
          <w:sz w:val="24"/>
          <w:szCs w:val="24"/>
        </w:rPr>
        <w:t>IL1B</w:t>
      </w:r>
      <w:r w:rsidR="00233C76">
        <w:rPr>
          <w:rFonts w:ascii="Times New Roman" w:hAnsi="Times New Roman" w:cs="Times New Roman"/>
          <w:sz w:val="24"/>
          <w:szCs w:val="24"/>
        </w:rPr>
        <w:t xml:space="preserve"> </w:t>
      </w:r>
      <w:r w:rsidR="00337C10">
        <w:rPr>
          <w:rFonts w:ascii="Times New Roman" w:hAnsi="Times New Roman" w:cs="Times New Roman"/>
          <w:sz w:val="24"/>
          <w:szCs w:val="24"/>
        </w:rPr>
        <w:t xml:space="preserve">or </w:t>
      </w:r>
      <w:r w:rsidR="00337C10" w:rsidRPr="00337C10">
        <w:rPr>
          <w:rFonts w:ascii="Times New Roman" w:hAnsi="Times New Roman" w:cs="Times New Roman"/>
          <w:sz w:val="24"/>
          <w:szCs w:val="24"/>
        </w:rPr>
        <w:t xml:space="preserve">interleukin 1 beta </w:t>
      </w:r>
      <w:r w:rsidR="00233C76">
        <w:rPr>
          <w:rFonts w:ascii="Times New Roman" w:hAnsi="Times New Roman" w:cs="Times New Roman"/>
          <w:sz w:val="24"/>
          <w:szCs w:val="24"/>
        </w:rPr>
        <w:t xml:space="preserve">is </w:t>
      </w:r>
      <w:r w:rsidR="0060792E">
        <w:rPr>
          <w:rFonts w:ascii="Times New Roman" w:hAnsi="Times New Roman" w:cs="Times New Roman"/>
          <w:sz w:val="24"/>
          <w:szCs w:val="24"/>
        </w:rPr>
        <w:t>a mediator in the inflammation process and can cause pain hypersensitivity when it mediates the production of cyclooxygenase-2 (</w:t>
      </w:r>
      <w:r w:rsidR="0060792E" w:rsidRPr="0060792E">
        <w:rPr>
          <w:rFonts w:ascii="Times New Roman" w:hAnsi="Times New Roman" w:cs="Times New Roman"/>
          <w:i/>
          <w:iCs/>
          <w:sz w:val="24"/>
          <w:szCs w:val="24"/>
        </w:rPr>
        <w:t>PTGS2</w:t>
      </w:r>
      <w:r w:rsidR="0060792E">
        <w:rPr>
          <w:rFonts w:ascii="Times New Roman" w:hAnsi="Times New Roman" w:cs="Times New Roman"/>
          <w:sz w:val="24"/>
          <w:szCs w:val="24"/>
        </w:rPr>
        <w:t xml:space="preserve">) in the central nervous system. That gene, </w:t>
      </w:r>
      <w:r w:rsidR="0060792E" w:rsidRPr="0060792E">
        <w:rPr>
          <w:rFonts w:ascii="Times New Roman" w:hAnsi="Times New Roman" w:cs="Times New Roman"/>
          <w:i/>
          <w:iCs/>
          <w:sz w:val="24"/>
          <w:szCs w:val="24"/>
        </w:rPr>
        <w:t>PTGS2</w:t>
      </w:r>
      <w:r w:rsidR="0060792E">
        <w:rPr>
          <w:rFonts w:ascii="Times New Roman" w:hAnsi="Times New Roman" w:cs="Times New Roman"/>
          <w:sz w:val="24"/>
          <w:szCs w:val="24"/>
        </w:rPr>
        <w:t xml:space="preserve">, is increased by 22 per cent in CBD treated sebum. The three genes that are more than 50 per cent decreased in CBD treated sebum compared to non-treated sebum after 24 hours are </w:t>
      </w:r>
      <w:r w:rsidR="0060792E" w:rsidRPr="0060792E">
        <w:rPr>
          <w:rFonts w:ascii="Times New Roman" w:hAnsi="Times New Roman" w:cs="Times New Roman"/>
          <w:i/>
          <w:iCs/>
          <w:sz w:val="24"/>
          <w:szCs w:val="24"/>
        </w:rPr>
        <w:t>CNB1, AR</w:t>
      </w:r>
      <w:r w:rsidR="0060792E">
        <w:rPr>
          <w:rFonts w:ascii="Times New Roman" w:hAnsi="Times New Roman" w:cs="Times New Roman"/>
          <w:sz w:val="24"/>
          <w:szCs w:val="24"/>
        </w:rPr>
        <w:t xml:space="preserve">, and </w:t>
      </w:r>
      <w:r w:rsidR="0060792E" w:rsidRPr="0060792E">
        <w:rPr>
          <w:rFonts w:ascii="Times New Roman" w:hAnsi="Times New Roman" w:cs="Times New Roman"/>
          <w:i/>
          <w:iCs/>
          <w:sz w:val="24"/>
          <w:szCs w:val="24"/>
        </w:rPr>
        <w:t>NRIP1</w:t>
      </w:r>
      <w:r w:rsidR="0060792E">
        <w:rPr>
          <w:rFonts w:ascii="Times New Roman" w:hAnsi="Times New Roman" w:cs="Times New Roman"/>
          <w:sz w:val="24"/>
          <w:szCs w:val="24"/>
        </w:rPr>
        <w:t xml:space="preserve">. </w:t>
      </w:r>
      <w:r w:rsidR="0060792E" w:rsidRPr="0060792E">
        <w:rPr>
          <w:rFonts w:ascii="Times New Roman" w:hAnsi="Times New Roman" w:cs="Times New Roman"/>
          <w:i/>
          <w:iCs/>
          <w:sz w:val="24"/>
          <w:szCs w:val="24"/>
        </w:rPr>
        <w:t>CNB1</w:t>
      </w:r>
      <w:r w:rsidR="0060792E">
        <w:rPr>
          <w:rFonts w:ascii="Times New Roman" w:hAnsi="Times New Roman" w:cs="Times New Roman"/>
          <w:sz w:val="24"/>
          <w:szCs w:val="24"/>
        </w:rPr>
        <w:t xml:space="preserve"> is </w:t>
      </w:r>
      <w:r w:rsidR="00337C10">
        <w:rPr>
          <w:rFonts w:ascii="Times New Roman" w:hAnsi="Times New Roman" w:cs="Times New Roman"/>
          <w:sz w:val="24"/>
          <w:szCs w:val="24"/>
        </w:rPr>
        <w:t xml:space="preserve">the </w:t>
      </w:r>
      <w:r w:rsidR="0060792E">
        <w:rPr>
          <w:rFonts w:ascii="Times New Roman" w:hAnsi="Times New Roman" w:cs="Times New Roman"/>
          <w:sz w:val="24"/>
          <w:szCs w:val="24"/>
        </w:rPr>
        <w:t xml:space="preserve">cannabinoid receptor 1 and this lowering effect of the </w:t>
      </w:r>
      <w:r w:rsidR="0060792E" w:rsidRPr="0060792E">
        <w:rPr>
          <w:rFonts w:ascii="Times New Roman" w:hAnsi="Times New Roman" w:cs="Times New Roman"/>
          <w:i/>
          <w:iCs/>
          <w:sz w:val="24"/>
          <w:szCs w:val="24"/>
        </w:rPr>
        <w:t>CNB1</w:t>
      </w:r>
      <w:r w:rsidR="0060792E">
        <w:rPr>
          <w:rFonts w:ascii="Times New Roman" w:hAnsi="Times New Roman" w:cs="Times New Roman"/>
          <w:sz w:val="24"/>
          <w:szCs w:val="24"/>
        </w:rPr>
        <w:t xml:space="preserve"> gene in CBD treated samples of sebum probably indicates that the cannabinoid CBD does not use the receptor for CNS induced effects as previously discussed in other research (</w:t>
      </w:r>
      <w:r w:rsidR="0060792E" w:rsidRPr="0060792E">
        <w:rPr>
          <w:rFonts w:ascii="Times New Roman" w:hAnsi="Times New Roman" w:cs="Times New Roman"/>
          <w:sz w:val="24"/>
          <w:szCs w:val="24"/>
        </w:rPr>
        <w:t>Goncalves, et al., 2019</w:t>
      </w:r>
      <w:r w:rsidR="0060792E">
        <w:rPr>
          <w:rFonts w:ascii="Times New Roman" w:hAnsi="Times New Roman" w:cs="Times New Roman"/>
          <w:sz w:val="24"/>
          <w:szCs w:val="24"/>
        </w:rPr>
        <w:t xml:space="preserve">). The </w:t>
      </w:r>
      <w:r w:rsidR="0060792E" w:rsidRPr="0060792E">
        <w:rPr>
          <w:rFonts w:ascii="Times New Roman" w:hAnsi="Times New Roman" w:cs="Times New Roman"/>
          <w:i/>
          <w:iCs/>
          <w:sz w:val="24"/>
          <w:szCs w:val="24"/>
        </w:rPr>
        <w:t>AR</w:t>
      </w:r>
      <w:r w:rsidR="0060792E">
        <w:rPr>
          <w:rFonts w:ascii="Times New Roman" w:hAnsi="Times New Roman" w:cs="Times New Roman"/>
          <w:sz w:val="24"/>
          <w:szCs w:val="24"/>
        </w:rPr>
        <w:t xml:space="preserve"> </w:t>
      </w:r>
      <w:r w:rsidR="00337C10">
        <w:rPr>
          <w:rFonts w:ascii="Times New Roman" w:hAnsi="Times New Roman" w:cs="Times New Roman"/>
          <w:sz w:val="24"/>
          <w:szCs w:val="24"/>
        </w:rPr>
        <w:t xml:space="preserve">or androgen receptor </w:t>
      </w:r>
      <w:r w:rsidR="0060792E">
        <w:rPr>
          <w:rFonts w:ascii="Times New Roman" w:hAnsi="Times New Roman" w:cs="Times New Roman"/>
          <w:sz w:val="24"/>
          <w:szCs w:val="24"/>
        </w:rPr>
        <w:t xml:space="preserve">gene </w:t>
      </w:r>
      <w:r w:rsidR="00337C10">
        <w:rPr>
          <w:rFonts w:ascii="Times New Roman" w:hAnsi="Times New Roman" w:cs="Times New Roman"/>
          <w:sz w:val="24"/>
          <w:szCs w:val="24"/>
        </w:rPr>
        <w:t xml:space="preserve">behaves as a </w:t>
      </w:r>
      <w:r w:rsidR="0060792E">
        <w:rPr>
          <w:rFonts w:ascii="Times New Roman" w:hAnsi="Times New Roman" w:cs="Times New Roman"/>
          <w:sz w:val="24"/>
          <w:szCs w:val="24"/>
        </w:rPr>
        <w:t xml:space="preserve">steroid-hormone </w:t>
      </w:r>
      <w:r w:rsidR="00337C10">
        <w:rPr>
          <w:rFonts w:ascii="Times New Roman" w:hAnsi="Times New Roman" w:cs="Times New Roman"/>
          <w:sz w:val="24"/>
          <w:szCs w:val="24"/>
        </w:rPr>
        <w:t xml:space="preserve">activated </w:t>
      </w:r>
      <w:r w:rsidR="0060792E">
        <w:rPr>
          <w:rFonts w:ascii="Times New Roman" w:hAnsi="Times New Roman" w:cs="Times New Roman"/>
          <w:sz w:val="24"/>
          <w:szCs w:val="24"/>
        </w:rPr>
        <w:t xml:space="preserve">transcription </w:t>
      </w:r>
      <w:r w:rsidR="00337C10">
        <w:rPr>
          <w:rFonts w:ascii="Times New Roman" w:hAnsi="Times New Roman" w:cs="Times New Roman"/>
          <w:sz w:val="24"/>
          <w:szCs w:val="24"/>
        </w:rPr>
        <w:t xml:space="preserve">factor and is an androgen receptor gene. The </w:t>
      </w:r>
      <w:r w:rsidR="00337C10" w:rsidRPr="00337C10">
        <w:rPr>
          <w:rFonts w:ascii="Times New Roman" w:hAnsi="Times New Roman" w:cs="Times New Roman"/>
          <w:i/>
          <w:iCs/>
          <w:sz w:val="24"/>
          <w:szCs w:val="24"/>
        </w:rPr>
        <w:t>NRIP1</w:t>
      </w:r>
      <w:r w:rsidR="00337C10">
        <w:rPr>
          <w:rFonts w:ascii="Times New Roman" w:hAnsi="Times New Roman" w:cs="Times New Roman"/>
          <w:sz w:val="24"/>
          <w:szCs w:val="24"/>
        </w:rPr>
        <w:t xml:space="preserve"> gene is nuclear receptor interacting protein 1 and is responsible for modulating estrogen receptor transcription activity.</w:t>
      </w:r>
    </w:p>
    <w:p w14:paraId="169EB471" w14:textId="77777777" w:rsidR="00312698" w:rsidRDefault="00312698">
      <w:pPr>
        <w:rPr>
          <w:rFonts w:ascii="Times New Roman" w:hAnsi="Times New Roman" w:cs="Times New Roman"/>
          <w:sz w:val="24"/>
          <w:szCs w:val="24"/>
        </w:rPr>
      </w:pPr>
      <w:r>
        <w:rPr>
          <w:rFonts w:ascii="Times New Roman" w:hAnsi="Times New Roman" w:cs="Times New Roman"/>
          <w:sz w:val="24"/>
          <w:szCs w:val="24"/>
        </w:rPr>
        <w:br w:type="page"/>
      </w:r>
    </w:p>
    <w:p w14:paraId="6F416242" w14:textId="34C38045" w:rsidR="00765CD3" w:rsidRDefault="00312698" w:rsidP="002F6B61">
      <w:pPr>
        <w:spacing w:after="0" w:line="240" w:lineRule="auto"/>
        <w:ind w:firstLine="1260"/>
        <w:rPr>
          <w:rFonts w:ascii="Times New Roman" w:hAnsi="Times New Roman" w:cs="Times New Roman"/>
          <w:sz w:val="24"/>
          <w:szCs w:val="24"/>
        </w:rPr>
      </w:pPr>
      <w:r>
        <w:rPr>
          <w:rFonts w:ascii="Times New Roman" w:hAnsi="Times New Roman" w:cs="Times New Roman"/>
          <w:sz w:val="24"/>
          <w:szCs w:val="24"/>
        </w:rPr>
        <w:lastRenderedPageBreak/>
        <w:t>Table 1: CBD Treated Sebum Differential Expression Values</w:t>
      </w:r>
    </w:p>
    <w:tbl>
      <w:tblPr>
        <w:tblW w:w="6823"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92"/>
        <w:gridCol w:w="1934"/>
        <w:gridCol w:w="1900"/>
        <w:gridCol w:w="1997"/>
      </w:tblGrid>
      <w:tr w:rsidR="005A7EC1" w:rsidRPr="005A7EC1" w14:paraId="1A6BBD1B" w14:textId="77777777" w:rsidTr="002F6B61">
        <w:trPr>
          <w:trHeight w:val="521"/>
          <w:jc w:val="center"/>
        </w:trPr>
        <w:tc>
          <w:tcPr>
            <w:tcW w:w="992" w:type="dxa"/>
            <w:shd w:val="clear" w:color="auto" w:fill="auto"/>
            <w:noWrap/>
            <w:vAlign w:val="center"/>
            <w:hideMark/>
          </w:tcPr>
          <w:p w14:paraId="4C5B1E63"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Gene</w:t>
            </w:r>
          </w:p>
        </w:tc>
        <w:tc>
          <w:tcPr>
            <w:tcW w:w="1934" w:type="dxa"/>
            <w:shd w:val="clear" w:color="auto" w:fill="auto"/>
            <w:noWrap/>
            <w:vAlign w:val="center"/>
            <w:hideMark/>
          </w:tcPr>
          <w:p w14:paraId="5EA99D5F"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GSM1385016.CTRL</w:t>
            </w:r>
          </w:p>
        </w:tc>
        <w:tc>
          <w:tcPr>
            <w:tcW w:w="1900" w:type="dxa"/>
            <w:shd w:val="clear" w:color="auto" w:fill="auto"/>
            <w:noWrap/>
            <w:vAlign w:val="center"/>
            <w:hideMark/>
          </w:tcPr>
          <w:p w14:paraId="2C072473"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GSM1385017.CBD</w:t>
            </w:r>
          </w:p>
        </w:tc>
        <w:tc>
          <w:tcPr>
            <w:tcW w:w="1997" w:type="dxa"/>
            <w:shd w:val="clear" w:color="auto" w:fill="auto"/>
            <w:noWrap/>
            <w:vAlign w:val="center"/>
            <w:hideMark/>
          </w:tcPr>
          <w:p w14:paraId="290E0893"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DE_CBD_mns_CTRL</w:t>
            </w:r>
          </w:p>
        </w:tc>
      </w:tr>
      <w:tr w:rsidR="005A7EC1" w:rsidRPr="005A7EC1" w14:paraId="305C7490" w14:textId="77777777" w:rsidTr="002F6B61">
        <w:trPr>
          <w:trHeight w:val="300"/>
          <w:jc w:val="center"/>
        </w:trPr>
        <w:tc>
          <w:tcPr>
            <w:tcW w:w="992" w:type="dxa"/>
            <w:shd w:val="clear" w:color="auto" w:fill="auto"/>
            <w:noWrap/>
            <w:vAlign w:val="bottom"/>
            <w:hideMark/>
          </w:tcPr>
          <w:p w14:paraId="32427626"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TRIB3</w:t>
            </w:r>
          </w:p>
        </w:tc>
        <w:tc>
          <w:tcPr>
            <w:tcW w:w="1934" w:type="dxa"/>
            <w:shd w:val="clear" w:color="auto" w:fill="auto"/>
            <w:noWrap/>
            <w:vAlign w:val="bottom"/>
            <w:hideMark/>
          </w:tcPr>
          <w:p w14:paraId="3ABB524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7.6472</w:t>
            </w:r>
          </w:p>
        </w:tc>
        <w:tc>
          <w:tcPr>
            <w:tcW w:w="1900" w:type="dxa"/>
            <w:shd w:val="clear" w:color="auto" w:fill="auto"/>
            <w:noWrap/>
            <w:vAlign w:val="bottom"/>
            <w:hideMark/>
          </w:tcPr>
          <w:p w14:paraId="3F4FD8F7"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9.103322</w:t>
            </w:r>
          </w:p>
        </w:tc>
        <w:tc>
          <w:tcPr>
            <w:tcW w:w="1997" w:type="dxa"/>
            <w:shd w:val="clear" w:color="auto" w:fill="auto"/>
            <w:noWrap/>
            <w:vAlign w:val="bottom"/>
            <w:hideMark/>
          </w:tcPr>
          <w:p w14:paraId="7543428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1.456122</w:t>
            </w:r>
          </w:p>
        </w:tc>
      </w:tr>
      <w:tr w:rsidR="005A7EC1" w:rsidRPr="005A7EC1" w14:paraId="03305C46" w14:textId="77777777" w:rsidTr="002F6B61">
        <w:trPr>
          <w:trHeight w:val="300"/>
          <w:jc w:val="center"/>
        </w:trPr>
        <w:tc>
          <w:tcPr>
            <w:tcW w:w="992" w:type="dxa"/>
            <w:shd w:val="clear" w:color="auto" w:fill="auto"/>
            <w:noWrap/>
            <w:vAlign w:val="bottom"/>
            <w:hideMark/>
          </w:tcPr>
          <w:p w14:paraId="65F07647"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TRAF1</w:t>
            </w:r>
          </w:p>
        </w:tc>
        <w:tc>
          <w:tcPr>
            <w:tcW w:w="1934" w:type="dxa"/>
            <w:shd w:val="clear" w:color="auto" w:fill="auto"/>
            <w:noWrap/>
            <w:vAlign w:val="bottom"/>
            <w:hideMark/>
          </w:tcPr>
          <w:p w14:paraId="54F663F3"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6.866</w:t>
            </w:r>
          </w:p>
        </w:tc>
        <w:tc>
          <w:tcPr>
            <w:tcW w:w="1900" w:type="dxa"/>
            <w:shd w:val="clear" w:color="auto" w:fill="auto"/>
            <w:noWrap/>
            <w:vAlign w:val="bottom"/>
            <w:hideMark/>
          </w:tcPr>
          <w:p w14:paraId="0B65392C"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7.707344</w:t>
            </w:r>
          </w:p>
        </w:tc>
        <w:tc>
          <w:tcPr>
            <w:tcW w:w="1997" w:type="dxa"/>
            <w:shd w:val="clear" w:color="auto" w:fill="auto"/>
            <w:noWrap/>
            <w:vAlign w:val="bottom"/>
            <w:hideMark/>
          </w:tcPr>
          <w:p w14:paraId="454F02EF"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0.841344</w:t>
            </w:r>
          </w:p>
        </w:tc>
      </w:tr>
      <w:tr w:rsidR="005A7EC1" w:rsidRPr="005A7EC1" w14:paraId="0255B54E" w14:textId="77777777" w:rsidTr="002F6B61">
        <w:trPr>
          <w:trHeight w:val="300"/>
          <w:jc w:val="center"/>
        </w:trPr>
        <w:tc>
          <w:tcPr>
            <w:tcW w:w="992" w:type="dxa"/>
            <w:shd w:val="clear" w:color="auto" w:fill="auto"/>
            <w:noWrap/>
            <w:vAlign w:val="bottom"/>
            <w:hideMark/>
          </w:tcPr>
          <w:p w14:paraId="7150ADE9"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ESR1</w:t>
            </w:r>
          </w:p>
        </w:tc>
        <w:tc>
          <w:tcPr>
            <w:tcW w:w="1934" w:type="dxa"/>
            <w:shd w:val="clear" w:color="auto" w:fill="auto"/>
            <w:noWrap/>
            <w:vAlign w:val="bottom"/>
            <w:hideMark/>
          </w:tcPr>
          <w:p w14:paraId="3F2CC49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2.9373</w:t>
            </w:r>
          </w:p>
        </w:tc>
        <w:tc>
          <w:tcPr>
            <w:tcW w:w="1900" w:type="dxa"/>
            <w:shd w:val="clear" w:color="auto" w:fill="auto"/>
            <w:noWrap/>
            <w:vAlign w:val="bottom"/>
            <w:hideMark/>
          </w:tcPr>
          <w:p w14:paraId="337F0337"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3.679091</w:t>
            </w:r>
          </w:p>
        </w:tc>
        <w:tc>
          <w:tcPr>
            <w:tcW w:w="1997" w:type="dxa"/>
            <w:shd w:val="clear" w:color="auto" w:fill="auto"/>
            <w:noWrap/>
            <w:vAlign w:val="bottom"/>
            <w:hideMark/>
          </w:tcPr>
          <w:p w14:paraId="2AAB2275"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0.741791</w:t>
            </w:r>
          </w:p>
        </w:tc>
      </w:tr>
      <w:tr w:rsidR="005A7EC1" w:rsidRPr="005A7EC1" w14:paraId="01C05DB5" w14:textId="77777777" w:rsidTr="002F6B61">
        <w:trPr>
          <w:trHeight w:val="300"/>
          <w:jc w:val="center"/>
        </w:trPr>
        <w:tc>
          <w:tcPr>
            <w:tcW w:w="992" w:type="dxa"/>
            <w:shd w:val="clear" w:color="auto" w:fill="auto"/>
            <w:noWrap/>
            <w:vAlign w:val="bottom"/>
            <w:hideMark/>
          </w:tcPr>
          <w:p w14:paraId="2D1919CC"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IL1B</w:t>
            </w:r>
          </w:p>
        </w:tc>
        <w:tc>
          <w:tcPr>
            <w:tcW w:w="1934" w:type="dxa"/>
            <w:shd w:val="clear" w:color="auto" w:fill="auto"/>
            <w:noWrap/>
            <w:vAlign w:val="bottom"/>
            <w:hideMark/>
          </w:tcPr>
          <w:p w14:paraId="36FF8440"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11.4589</w:t>
            </w:r>
          </w:p>
        </w:tc>
        <w:tc>
          <w:tcPr>
            <w:tcW w:w="1900" w:type="dxa"/>
            <w:shd w:val="clear" w:color="auto" w:fill="auto"/>
            <w:noWrap/>
            <w:vAlign w:val="bottom"/>
            <w:hideMark/>
          </w:tcPr>
          <w:p w14:paraId="03814D4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12.080408</w:t>
            </w:r>
          </w:p>
        </w:tc>
        <w:tc>
          <w:tcPr>
            <w:tcW w:w="1997" w:type="dxa"/>
            <w:shd w:val="clear" w:color="auto" w:fill="auto"/>
            <w:noWrap/>
            <w:vAlign w:val="bottom"/>
            <w:hideMark/>
          </w:tcPr>
          <w:p w14:paraId="127DDE28"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0.621508</w:t>
            </w:r>
          </w:p>
        </w:tc>
      </w:tr>
      <w:tr w:rsidR="005A7EC1" w:rsidRPr="005A7EC1" w14:paraId="4D37C02E" w14:textId="77777777" w:rsidTr="002F6B61">
        <w:trPr>
          <w:trHeight w:val="300"/>
          <w:jc w:val="center"/>
        </w:trPr>
        <w:tc>
          <w:tcPr>
            <w:tcW w:w="992" w:type="dxa"/>
            <w:shd w:val="clear" w:color="auto" w:fill="auto"/>
            <w:noWrap/>
            <w:vAlign w:val="bottom"/>
            <w:hideMark/>
          </w:tcPr>
          <w:p w14:paraId="4BD78C92"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ICAM1</w:t>
            </w:r>
          </w:p>
        </w:tc>
        <w:tc>
          <w:tcPr>
            <w:tcW w:w="1934" w:type="dxa"/>
            <w:shd w:val="clear" w:color="auto" w:fill="auto"/>
            <w:noWrap/>
            <w:vAlign w:val="bottom"/>
            <w:hideMark/>
          </w:tcPr>
          <w:p w14:paraId="27389024"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9.5599</w:t>
            </w:r>
          </w:p>
        </w:tc>
        <w:tc>
          <w:tcPr>
            <w:tcW w:w="1900" w:type="dxa"/>
            <w:shd w:val="clear" w:color="auto" w:fill="auto"/>
            <w:noWrap/>
            <w:vAlign w:val="bottom"/>
            <w:hideMark/>
          </w:tcPr>
          <w:p w14:paraId="3FFE6A0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10.037292</w:t>
            </w:r>
          </w:p>
        </w:tc>
        <w:tc>
          <w:tcPr>
            <w:tcW w:w="1997" w:type="dxa"/>
            <w:shd w:val="clear" w:color="auto" w:fill="auto"/>
            <w:noWrap/>
            <w:vAlign w:val="bottom"/>
            <w:hideMark/>
          </w:tcPr>
          <w:p w14:paraId="1E375EA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0.477392</w:t>
            </w:r>
          </w:p>
        </w:tc>
      </w:tr>
      <w:tr w:rsidR="005A7EC1" w:rsidRPr="005A7EC1" w14:paraId="6C927F68" w14:textId="77777777" w:rsidTr="002F6B61">
        <w:trPr>
          <w:trHeight w:val="300"/>
          <w:jc w:val="center"/>
        </w:trPr>
        <w:tc>
          <w:tcPr>
            <w:tcW w:w="992" w:type="dxa"/>
            <w:shd w:val="clear" w:color="auto" w:fill="auto"/>
            <w:noWrap/>
            <w:vAlign w:val="bottom"/>
            <w:hideMark/>
          </w:tcPr>
          <w:p w14:paraId="6ED47A6D"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TNF</w:t>
            </w:r>
          </w:p>
        </w:tc>
        <w:tc>
          <w:tcPr>
            <w:tcW w:w="1934" w:type="dxa"/>
            <w:shd w:val="clear" w:color="auto" w:fill="auto"/>
            <w:noWrap/>
            <w:vAlign w:val="bottom"/>
            <w:hideMark/>
          </w:tcPr>
          <w:p w14:paraId="6869A00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3.6411</w:t>
            </w:r>
          </w:p>
        </w:tc>
        <w:tc>
          <w:tcPr>
            <w:tcW w:w="1900" w:type="dxa"/>
            <w:shd w:val="clear" w:color="auto" w:fill="auto"/>
            <w:noWrap/>
            <w:vAlign w:val="bottom"/>
            <w:hideMark/>
          </w:tcPr>
          <w:p w14:paraId="372C42A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4.022212</w:t>
            </w:r>
          </w:p>
        </w:tc>
        <w:tc>
          <w:tcPr>
            <w:tcW w:w="1997" w:type="dxa"/>
            <w:shd w:val="clear" w:color="auto" w:fill="auto"/>
            <w:noWrap/>
            <w:vAlign w:val="bottom"/>
            <w:hideMark/>
          </w:tcPr>
          <w:p w14:paraId="3806811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0.381112</w:t>
            </w:r>
          </w:p>
        </w:tc>
      </w:tr>
      <w:tr w:rsidR="005A7EC1" w:rsidRPr="005A7EC1" w14:paraId="4CA9964C" w14:textId="77777777" w:rsidTr="002F6B61">
        <w:trPr>
          <w:trHeight w:val="300"/>
          <w:jc w:val="center"/>
        </w:trPr>
        <w:tc>
          <w:tcPr>
            <w:tcW w:w="992" w:type="dxa"/>
            <w:shd w:val="clear" w:color="auto" w:fill="auto"/>
            <w:noWrap/>
            <w:vAlign w:val="bottom"/>
            <w:hideMark/>
          </w:tcPr>
          <w:p w14:paraId="4B2E99E3"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TGFB1</w:t>
            </w:r>
          </w:p>
        </w:tc>
        <w:tc>
          <w:tcPr>
            <w:tcW w:w="1934" w:type="dxa"/>
            <w:shd w:val="clear" w:color="auto" w:fill="auto"/>
            <w:noWrap/>
            <w:vAlign w:val="bottom"/>
            <w:hideMark/>
          </w:tcPr>
          <w:p w14:paraId="55D282E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7.3283</w:t>
            </w:r>
          </w:p>
        </w:tc>
        <w:tc>
          <w:tcPr>
            <w:tcW w:w="1900" w:type="dxa"/>
            <w:shd w:val="clear" w:color="auto" w:fill="auto"/>
            <w:noWrap/>
            <w:vAlign w:val="bottom"/>
            <w:hideMark/>
          </w:tcPr>
          <w:p w14:paraId="07F42E1D"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7.653875</w:t>
            </w:r>
          </w:p>
        </w:tc>
        <w:tc>
          <w:tcPr>
            <w:tcW w:w="1997" w:type="dxa"/>
            <w:shd w:val="clear" w:color="auto" w:fill="auto"/>
            <w:noWrap/>
            <w:vAlign w:val="bottom"/>
            <w:hideMark/>
          </w:tcPr>
          <w:p w14:paraId="3D99B46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0.325575</w:t>
            </w:r>
          </w:p>
        </w:tc>
      </w:tr>
      <w:tr w:rsidR="005A7EC1" w:rsidRPr="005A7EC1" w14:paraId="4C47CE6D" w14:textId="77777777" w:rsidTr="002F6B61">
        <w:trPr>
          <w:trHeight w:val="300"/>
          <w:jc w:val="center"/>
        </w:trPr>
        <w:tc>
          <w:tcPr>
            <w:tcW w:w="992" w:type="dxa"/>
            <w:shd w:val="clear" w:color="auto" w:fill="auto"/>
            <w:noWrap/>
            <w:vAlign w:val="bottom"/>
            <w:hideMark/>
          </w:tcPr>
          <w:p w14:paraId="20F7D021"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TRPV2</w:t>
            </w:r>
          </w:p>
        </w:tc>
        <w:tc>
          <w:tcPr>
            <w:tcW w:w="1934" w:type="dxa"/>
            <w:shd w:val="clear" w:color="auto" w:fill="auto"/>
            <w:noWrap/>
            <w:vAlign w:val="bottom"/>
            <w:hideMark/>
          </w:tcPr>
          <w:p w14:paraId="5DF858C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4.9487</w:t>
            </w:r>
          </w:p>
        </w:tc>
        <w:tc>
          <w:tcPr>
            <w:tcW w:w="1900" w:type="dxa"/>
            <w:shd w:val="clear" w:color="auto" w:fill="auto"/>
            <w:noWrap/>
            <w:vAlign w:val="bottom"/>
            <w:hideMark/>
          </w:tcPr>
          <w:p w14:paraId="1B71CAF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5.252485</w:t>
            </w:r>
          </w:p>
        </w:tc>
        <w:tc>
          <w:tcPr>
            <w:tcW w:w="1997" w:type="dxa"/>
            <w:shd w:val="clear" w:color="auto" w:fill="auto"/>
            <w:noWrap/>
            <w:vAlign w:val="bottom"/>
            <w:hideMark/>
          </w:tcPr>
          <w:p w14:paraId="778534C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0.303785</w:t>
            </w:r>
          </w:p>
        </w:tc>
      </w:tr>
      <w:tr w:rsidR="005A7EC1" w:rsidRPr="005A7EC1" w14:paraId="29B84232" w14:textId="77777777" w:rsidTr="002F6B61">
        <w:trPr>
          <w:trHeight w:val="300"/>
          <w:jc w:val="center"/>
        </w:trPr>
        <w:tc>
          <w:tcPr>
            <w:tcW w:w="992" w:type="dxa"/>
            <w:shd w:val="clear" w:color="auto" w:fill="auto"/>
            <w:noWrap/>
            <w:vAlign w:val="bottom"/>
            <w:hideMark/>
          </w:tcPr>
          <w:p w14:paraId="79C714B8"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CNRIP1</w:t>
            </w:r>
          </w:p>
        </w:tc>
        <w:tc>
          <w:tcPr>
            <w:tcW w:w="1934" w:type="dxa"/>
            <w:shd w:val="clear" w:color="auto" w:fill="auto"/>
            <w:noWrap/>
            <w:vAlign w:val="bottom"/>
            <w:hideMark/>
          </w:tcPr>
          <w:p w14:paraId="6572D0FA"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3.0299</w:t>
            </w:r>
          </w:p>
        </w:tc>
        <w:tc>
          <w:tcPr>
            <w:tcW w:w="1900" w:type="dxa"/>
            <w:shd w:val="clear" w:color="auto" w:fill="auto"/>
            <w:noWrap/>
            <w:vAlign w:val="bottom"/>
            <w:hideMark/>
          </w:tcPr>
          <w:p w14:paraId="00C7E3A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3.313889</w:t>
            </w:r>
          </w:p>
        </w:tc>
        <w:tc>
          <w:tcPr>
            <w:tcW w:w="1997" w:type="dxa"/>
            <w:shd w:val="clear" w:color="auto" w:fill="auto"/>
            <w:noWrap/>
            <w:vAlign w:val="bottom"/>
            <w:hideMark/>
          </w:tcPr>
          <w:p w14:paraId="0F757FE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0.283989</w:t>
            </w:r>
          </w:p>
        </w:tc>
      </w:tr>
      <w:tr w:rsidR="005A7EC1" w:rsidRPr="005A7EC1" w14:paraId="320F5A45" w14:textId="77777777" w:rsidTr="002F6B61">
        <w:trPr>
          <w:trHeight w:val="300"/>
          <w:jc w:val="center"/>
        </w:trPr>
        <w:tc>
          <w:tcPr>
            <w:tcW w:w="992" w:type="dxa"/>
            <w:shd w:val="clear" w:color="auto" w:fill="auto"/>
            <w:noWrap/>
            <w:vAlign w:val="bottom"/>
            <w:hideMark/>
          </w:tcPr>
          <w:p w14:paraId="1CD03A8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IL10</w:t>
            </w:r>
          </w:p>
        </w:tc>
        <w:tc>
          <w:tcPr>
            <w:tcW w:w="1934" w:type="dxa"/>
            <w:shd w:val="clear" w:color="auto" w:fill="auto"/>
            <w:noWrap/>
            <w:vAlign w:val="bottom"/>
            <w:hideMark/>
          </w:tcPr>
          <w:p w14:paraId="7B619A9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3.4231</w:t>
            </w:r>
          </w:p>
        </w:tc>
        <w:tc>
          <w:tcPr>
            <w:tcW w:w="1900" w:type="dxa"/>
            <w:shd w:val="clear" w:color="auto" w:fill="auto"/>
            <w:noWrap/>
            <w:vAlign w:val="bottom"/>
            <w:hideMark/>
          </w:tcPr>
          <w:p w14:paraId="6A73FFE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3.679091</w:t>
            </w:r>
          </w:p>
        </w:tc>
        <w:tc>
          <w:tcPr>
            <w:tcW w:w="1997" w:type="dxa"/>
            <w:shd w:val="clear" w:color="auto" w:fill="auto"/>
            <w:noWrap/>
            <w:vAlign w:val="bottom"/>
            <w:hideMark/>
          </w:tcPr>
          <w:p w14:paraId="7F2E661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0.255991</w:t>
            </w:r>
          </w:p>
        </w:tc>
      </w:tr>
      <w:tr w:rsidR="005A7EC1" w:rsidRPr="005A7EC1" w14:paraId="44317034" w14:textId="77777777" w:rsidTr="002F6B61">
        <w:trPr>
          <w:trHeight w:val="300"/>
          <w:jc w:val="center"/>
        </w:trPr>
        <w:tc>
          <w:tcPr>
            <w:tcW w:w="992" w:type="dxa"/>
            <w:shd w:val="clear" w:color="auto" w:fill="auto"/>
            <w:noWrap/>
            <w:vAlign w:val="bottom"/>
            <w:hideMark/>
          </w:tcPr>
          <w:p w14:paraId="1206E1B6"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PTGS2</w:t>
            </w:r>
          </w:p>
        </w:tc>
        <w:tc>
          <w:tcPr>
            <w:tcW w:w="1934" w:type="dxa"/>
            <w:shd w:val="clear" w:color="auto" w:fill="auto"/>
            <w:noWrap/>
            <w:vAlign w:val="bottom"/>
            <w:hideMark/>
          </w:tcPr>
          <w:p w14:paraId="2D0DB20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4.5165</w:t>
            </w:r>
          </w:p>
        </w:tc>
        <w:tc>
          <w:tcPr>
            <w:tcW w:w="1900" w:type="dxa"/>
            <w:shd w:val="clear" w:color="auto" w:fill="auto"/>
            <w:noWrap/>
            <w:vAlign w:val="bottom"/>
            <w:hideMark/>
          </w:tcPr>
          <w:p w14:paraId="01735EC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4.738671</w:t>
            </w:r>
          </w:p>
        </w:tc>
        <w:tc>
          <w:tcPr>
            <w:tcW w:w="1997" w:type="dxa"/>
            <w:shd w:val="clear" w:color="auto" w:fill="auto"/>
            <w:noWrap/>
            <w:vAlign w:val="bottom"/>
            <w:hideMark/>
          </w:tcPr>
          <w:p w14:paraId="4207E6E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0.222171</w:t>
            </w:r>
          </w:p>
        </w:tc>
      </w:tr>
      <w:tr w:rsidR="005A7EC1" w:rsidRPr="005A7EC1" w14:paraId="6090CFCE" w14:textId="77777777" w:rsidTr="002F6B61">
        <w:trPr>
          <w:trHeight w:val="300"/>
          <w:jc w:val="center"/>
        </w:trPr>
        <w:tc>
          <w:tcPr>
            <w:tcW w:w="992" w:type="dxa"/>
            <w:shd w:val="clear" w:color="auto" w:fill="auto"/>
            <w:noWrap/>
            <w:vAlign w:val="bottom"/>
            <w:hideMark/>
          </w:tcPr>
          <w:p w14:paraId="37AA42BF"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IFNG</w:t>
            </w:r>
          </w:p>
        </w:tc>
        <w:tc>
          <w:tcPr>
            <w:tcW w:w="1934" w:type="dxa"/>
            <w:shd w:val="clear" w:color="auto" w:fill="auto"/>
            <w:noWrap/>
            <w:vAlign w:val="bottom"/>
            <w:hideMark/>
          </w:tcPr>
          <w:p w14:paraId="19CF7AA5"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3.366</w:t>
            </w:r>
          </w:p>
        </w:tc>
        <w:tc>
          <w:tcPr>
            <w:tcW w:w="1900" w:type="dxa"/>
            <w:shd w:val="clear" w:color="auto" w:fill="auto"/>
            <w:noWrap/>
            <w:vAlign w:val="bottom"/>
            <w:hideMark/>
          </w:tcPr>
          <w:p w14:paraId="47A0DCF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3.490365</w:t>
            </w:r>
          </w:p>
        </w:tc>
        <w:tc>
          <w:tcPr>
            <w:tcW w:w="1997" w:type="dxa"/>
            <w:shd w:val="clear" w:color="auto" w:fill="auto"/>
            <w:noWrap/>
            <w:vAlign w:val="bottom"/>
            <w:hideMark/>
          </w:tcPr>
          <w:p w14:paraId="0148CA98"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0.124365</w:t>
            </w:r>
          </w:p>
        </w:tc>
      </w:tr>
      <w:tr w:rsidR="005A7EC1" w:rsidRPr="005A7EC1" w14:paraId="2C6DF8E9" w14:textId="77777777" w:rsidTr="002F6B61">
        <w:trPr>
          <w:trHeight w:val="300"/>
          <w:jc w:val="center"/>
        </w:trPr>
        <w:tc>
          <w:tcPr>
            <w:tcW w:w="992" w:type="dxa"/>
            <w:shd w:val="clear" w:color="auto" w:fill="auto"/>
            <w:noWrap/>
            <w:vAlign w:val="bottom"/>
            <w:hideMark/>
          </w:tcPr>
          <w:p w14:paraId="2E810095"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S100B</w:t>
            </w:r>
          </w:p>
        </w:tc>
        <w:tc>
          <w:tcPr>
            <w:tcW w:w="1934" w:type="dxa"/>
            <w:shd w:val="clear" w:color="auto" w:fill="auto"/>
            <w:noWrap/>
            <w:vAlign w:val="bottom"/>
            <w:hideMark/>
          </w:tcPr>
          <w:p w14:paraId="260024E7"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2.9891</w:t>
            </w:r>
          </w:p>
        </w:tc>
        <w:tc>
          <w:tcPr>
            <w:tcW w:w="1900" w:type="dxa"/>
            <w:shd w:val="clear" w:color="auto" w:fill="auto"/>
            <w:noWrap/>
            <w:vAlign w:val="bottom"/>
            <w:hideMark/>
          </w:tcPr>
          <w:p w14:paraId="6E94846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3.102988</w:t>
            </w:r>
          </w:p>
        </w:tc>
        <w:tc>
          <w:tcPr>
            <w:tcW w:w="1997" w:type="dxa"/>
            <w:shd w:val="clear" w:color="auto" w:fill="auto"/>
            <w:noWrap/>
            <w:vAlign w:val="bottom"/>
            <w:hideMark/>
          </w:tcPr>
          <w:p w14:paraId="52A8AFD2"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0.113888</w:t>
            </w:r>
          </w:p>
        </w:tc>
      </w:tr>
      <w:tr w:rsidR="005A7EC1" w:rsidRPr="005A7EC1" w14:paraId="7A404FDA" w14:textId="77777777" w:rsidTr="002F6B61">
        <w:trPr>
          <w:trHeight w:val="300"/>
          <w:jc w:val="center"/>
        </w:trPr>
        <w:tc>
          <w:tcPr>
            <w:tcW w:w="992" w:type="dxa"/>
            <w:shd w:val="clear" w:color="auto" w:fill="auto"/>
            <w:noWrap/>
            <w:vAlign w:val="bottom"/>
            <w:hideMark/>
          </w:tcPr>
          <w:p w14:paraId="11F2D285"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SHBG</w:t>
            </w:r>
          </w:p>
        </w:tc>
        <w:tc>
          <w:tcPr>
            <w:tcW w:w="1934" w:type="dxa"/>
            <w:shd w:val="clear" w:color="auto" w:fill="auto"/>
            <w:noWrap/>
            <w:vAlign w:val="bottom"/>
            <w:hideMark/>
          </w:tcPr>
          <w:p w14:paraId="2B8303E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4.0035</w:t>
            </w:r>
          </w:p>
        </w:tc>
        <w:tc>
          <w:tcPr>
            <w:tcW w:w="1900" w:type="dxa"/>
            <w:shd w:val="clear" w:color="auto" w:fill="auto"/>
            <w:noWrap/>
            <w:vAlign w:val="bottom"/>
            <w:hideMark/>
          </w:tcPr>
          <w:p w14:paraId="5C3A32C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4.073103</w:t>
            </w:r>
          </w:p>
        </w:tc>
        <w:tc>
          <w:tcPr>
            <w:tcW w:w="1997" w:type="dxa"/>
            <w:shd w:val="clear" w:color="auto" w:fill="auto"/>
            <w:noWrap/>
            <w:vAlign w:val="bottom"/>
            <w:hideMark/>
          </w:tcPr>
          <w:p w14:paraId="3FBABF0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0.069603</w:t>
            </w:r>
          </w:p>
        </w:tc>
      </w:tr>
      <w:tr w:rsidR="005A7EC1" w:rsidRPr="005A7EC1" w14:paraId="790CB231" w14:textId="77777777" w:rsidTr="002F6B61">
        <w:trPr>
          <w:trHeight w:val="300"/>
          <w:jc w:val="center"/>
        </w:trPr>
        <w:tc>
          <w:tcPr>
            <w:tcW w:w="992" w:type="dxa"/>
            <w:shd w:val="clear" w:color="auto" w:fill="auto"/>
            <w:noWrap/>
            <w:vAlign w:val="bottom"/>
            <w:hideMark/>
          </w:tcPr>
          <w:p w14:paraId="10446140"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CNR2</w:t>
            </w:r>
          </w:p>
        </w:tc>
        <w:tc>
          <w:tcPr>
            <w:tcW w:w="1934" w:type="dxa"/>
            <w:shd w:val="clear" w:color="auto" w:fill="auto"/>
            <w:noWrap/>
            <w:vAlign w:val="bottom"/>
            <w:hideMark/>
          </w:tcPr>
          <w:p w14:paraId="2A537BE4"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4.1808</w:t>
            </w:r>
          </w:p>
        </w:tc>
        <w:tc>
          <w:tcPr>
            <w:tcW w:w="1900" w:type="dxa"/>
            <w:shd w:val="clear" w:color="auto" w:fill="auto"/>
            <w:noWrap/>
            <w:vAlign w:val="bottom"/>
            <w:hideMark/>
          </w:tcPr>
          <w:p w14:paraId="5FC490AD"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4.245898</w:t>
            </w:r>
          </w:p>
        </w:tc>
        <w:tc>
          <w:tcPr>
            <w:tcW w:w="1997" w:type="dxa"/>
            <w:shd w:val="clear" w:color="auto" w:fill="auto"/>
            <w:noWrap/>
            <w:vAlign w:val="bottom"/>
            <w:hideMark/>
          </w:tcPr>
          <w:p w14:paraId="12EF153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0.065098</w:t>
            </w:r>
          </w:p>
        </w:tc>
      </w:tr>
      <w:tr w:rsidR="005A7EC1" w:rsidRPr="005A7EC1" w14:paraId="24FEF670" w14:textId="77777777" w:rsidTr="002F6B61">
        <w:trPr>
          <w:trHeight w:val="300"/>
          <w:jc w:val="center"/>
        </w:trPr>
        <w:tc>
          <w:tcPr>
            <w:tcW w:w="992" w:type="dxa"/>
            <w:shd w:val="clear" w:color="auto" w:fill="auto"/>
            <w:noWrap/>
            <w:vAlign w:val="bottom"/>
            <w:hideMark/>
          </w:tcPr>
          <w:p w14:paraId="771D073F"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NFKB1</w:t>
            </w:r>
          </w:p>
        </w:tc>
        <w:tc>
          <w:tcPr>
            <w:tcW w:w="1934" w:type="dxa"/>
            <w:shd w:val="clear" w:color="auto" w:fill="auto"/>
            <w:noWrap/>
            <w:vAlign w:val="bottom"/>
            <w:hideMark/>
          </w:tcPr>
          <w:p w14:paraId="2FABE90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10.1001</w:t>
            </w:r>
          </w:p>
        </w:tc>
        <w:tc>
          <w:tcPr>
            <w:tcW w:w="1900" w:type="dxa"/>
            <w:shd w:val="clear" w:color="auto" w:fill="auto"/>
            <w:noWrap/>
            <w:vAlign w:val="bottom"/>
            <w:hideMark/>
          </w:tcPr>
          <w:p w14:paraId="7118B0F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10.148697</w:t>
            </w:r>
          </w:p>
        </w:tc>
        <w:tc>
          <w:tcPr>
            <w:tcW w:w="1997" w:type="dxa"/>
            <w:shd w:val="clear" w:color="auto" w:fill="auto"/>
            <w:noWrap/>
            <w:vAlign w:val="bottom"/>
            <w:hideMark/>
          </w:tcPr>
          <w:p w14:paraId="5B49459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0.048597</w:t>
            </w:r>
          </w:p>
        </w:tc>
      </w:tr>
      <w:tr w:rsidR="005A7EC1" w:rsidRPr="005A7EC1" w14:paraId="11CA632B" w14:textId="77777777" w:rsidTr="002F6B61">
        <w:trPr>
          <w:trHeight w:val="300"/>
          <w:jc w:val="center"/>
        </w:trPr>
        <w:tc>
          <w:tcPr>
            <w:tcW w:w="992" w:type="dxa"/>
            <w:shd w:val="clear" w:color="auto" w:fill="auto"/>
            <w:noWrap/>
            <w:vAlign w:val="bottom"/>
            <w:hideMark/>
          </w:tcPr>
          <w:p w14:paraId="6440FEF3"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IL17A</w:t>
            </w:r>
          </w:p>
        </w:tc>
        <w:tc>
          <w:tcPr>
            <w:tcW w:w="1934" w:type="dxa"/>
            <w:shd w:val="clear" w:color="auto" w:fill="auto"/>
            <w:noWrap/>
            <w:vAlign w:val="bottom"/>
            <w:hideMark/>
          </w:tcPr>
          <w:p w14:paraId="2C81AF6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3.8998</w:t>
            </w:r>
          </w:p>
        </w:tc>
        <w:tc>
          <w:tcPr>
            <w:tcW w:w="1900" w:type="dxa"/>
            <w:shd w:val="clear" w:color="auto" w:fill="auto"/>
            <w:noWrap/>
            <w:vAlign w:val="bottom"/>
            <w:hideMark/>
          </w:tcPr>
          <w:p w14:paraId="0633F22B"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3.890546</w:t>
            </w:r>
          </w:p>
        </w:tc>
        <w:tc>
          <w:tcPr>
            <w:tcW w:w="1997" w:type="dxa"/>
            <w:shd w:val="clear" w:color="auto" w:fill="auto"/>
            <w:noWrap/>
            <w:vAlign w:val="bottom"/>
            <w:hideMark/>
          </w:tcPr>
          <w:p w14:paraId="11DE21FB"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-0.009254</w:t>
            </w:r>
          </w:p>
        </w:tc>
      </w:tr>
      <w:tr w:rsidR="005A7EC1" w:rsidRPr="005A7EC1" w14:paraId="4330F89C" w14:textId="77777777" w:rsidTr="002F6B61">
        <w:trPr>
          <w:trHeight w:val="300"/>
          <w:jc w:val="center"/>
        </w:trPr>
        <w:tc>
          <w:tcPr>
            <w:tcW w:w="992" w:type="dxa"/>
            <w:shd w:val="clear" w:color="auto" w:fill="auto"/>
            <w:noWrap/>
            <w:vAlign w:val="bottom"/>
            <w:hideMark/>
          </w:tcPr>
          <w:p w14:paraId="1C4B18F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IL6</w:t>
            </w:r>
          </w:p>
        </w:tc>
        <w:tc>
          <w:tcPr>
            <w:tcW w:w="1934" w:type="dxa"/>
            <w:shd w:val="clear" w:color="auto" w:fill="auto"/>
            <w:noWrap/>
            <w:vAlign w:val="bottom"/>
            <w:hideMark/>
          </w:tcPr>
          <w:p w14:paraId="0809023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11.0788</w:t>
            </w:r>
          </w:p>
        </w:tc>
        <w:tc>
          <w:tcPr>
            <w:tcW w:w="1900" w:type="dxa"/>
            <w:shd w:val="clear" w:color="auto" w:fill="auto"/>
            <w:noWrap/>
            <w:vAlign w:val="bottom"/>
            <w:hideMark/>
          </w:tcPr>
          <w:p w14:paraId="5CA5B218"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10.929585</w:t>
            </w:r>
          </w:p>
        </w:tc>
        <w:tc>
          <w:tcPr>
            <w:tcW w:w="1997" w:type="dxa"/>
            <w:shd w:val="clear" w:color="auto" w:fill="auto"/>
            <w:noWrap/>
            <w:vAlign w:val="bottom"/>
            <w:hideMark/>
          </w:tcPr>
          <w:p w14:paraId="5BAE2792"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-0.149215</w:t>
            </w:r>
          </w:p>
        </w:tc>
      </w:tr>
      <w:tr w:rsidR="005A7EC1" w:rsidRPr="005A7EC1" w14:paraId="0E3D58EB" w14:textId="77777777" w:rsidTr="002F6B61">
        <w:trPr>
          <w:trHeight w:val="300"/>
          <w:jc w:val="center"/>
        </w:trPr>
        <w:tc>
          <w:tcPr>
            <w:tcW w:w="992" w:type="dxa"/>
            <w:shd w:val="clear" w:color="auto" w:fill="auto"/>
            <w:noWrap/>
            <w:vAlign w:val="bottom"/>
            <w:hideMark/>
          </w:tcPr>
          <w:p w14:paraId="48BE5A1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TNFSF10</w:t>
            </w:r>
          </w:p>
        </w:tc>
        <w:tc>
          <w:tcPr>
            <w:tcW w:w="1934" w:type="dxa"/>
            <w:shd w:val="clear" w:color="auto" w:fill="auto"/>
            <w:noWrap/>
            <w:vAlign w:val="bottom"/>
            <w:hideMark/>
          </w:tcPr>
          <w:p w14:paraId="4992903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5.31</w:t>
            </w:r>
          </w:p>
        </w:tc>
        <w:tc>
          <w:tcPr>
            <w:tcW w:w="1900" w:type="dxa"/>
            <w:shd w:val="clear" w:color="auto" w:fill="auto"/>
            <w:noWrap/>
            <w:vAlign w:val="bottom"/>
            <w:hideMark/>
          </w:tcPr>
          <w:p w14:paraId="16B2D3B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4.921954</w:t>
            </w:r>
          </w:p>
        </w:tc>
        <w:tc>
          <w:tcPr>
            <w:tcW w:w="1997" w:type="dxa"/>
            <w:shd w:val="clear" w:color="auto" w:fill="auto"/>
            <w:noWrap/>
            <w:vAlign w:val="bottom"/>
            <w:hideMark/>
          </w:tcPr>
          <w:p w14:paraId="656FD4A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-0.388046</w:t>
            </w:r>
          </w:p>
        </w:tc>
      </w:tr>
      <w:tr w:rsidR="005A7EC1" w:rsidRPr="005A7EC1" w14:paraId="72A312A8" w14:textId="77777777" w:rsidTr="002F6B61">
        <w:trPr>
          <w:trHeight w:val="300"/>
          <w:jc w:val="center"/>
        </w:trPr>
        <w:tc>
          <w:tcPr>
            <w:tcW w:w="992" w:type="dxa"/>
            <w:shd w:val="clear" w:color="auto" w:fill="auto"/>
            <w:noWrap/>
            <w:vAlign w:val="bottom"/>
            <w:hideMark/>
          </w:tcPr>
          <w:p w14:paraId="6288F1D5"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CNR1</w:t>
            </w:r>
          </w:p>
        </w:tc>
        <w:tc>
          <w:tcPr>
            <w:tcW w:w="1934" w:type="dxa"/>
            <w:shd w:val="clear" w:color="auto" w:fill="auto"/>
            <w:noWrap/>
            <w:vAlign w:val="bottom"/>
            <w:hideMark/>
          </w:tcPr>
          <w:p w14:paraId="3AB256A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3.0299</w:t>
            </w:r>
          </w:p>
        </w:tc>
        <w:tc>
          <w:tcPr>
            <w:tcW w:w="1900" w:type="dxa"/>
            <w:shd w:val="clear" w:color="auto" w:fill="auto"/>
            <w:noWrap/>
            <w:vAlign w:val="bottom"/>
            <w:hideMark/>
          </w:tcPr>
          <w:p w14:paraId="66B29862"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2.482512</w:t>
            </w:r>
          </w:p>
        </w:tc>
        <w:tc>
          <w:tcPr>
            <w:tcW w:w="1997" w:type="dxa"/>
            <w:shd w:val="clear" w:color="auto" w:fill="auto"/>
            <w:noWrap/>
            <w:vAlign w:val="bottom"/>
            <w:hideMark/>
          </w:tcPr>
          <w:p w14:paraId="6C8CDA6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-0.547388</w:t>
            </w:r>
          </w:p>
        </w:tc>
      </w:tr>
      <w:tr w:rsidR="005A7EC1" w:rsidRPr="005A7EC1" w14:paraId="40A72120" w14:textId="77777777" w:rsidTr="002F6B61">
        <w:trPr>
          <w:trHeight w:val="300"/>
          <w:jc w:val="center"/>
        </w:trPr>
        <w:tc>
          <w:tcPr>
            <w:tcW w:w="992" w:type="dxa"/>
            <w:shd w:val="clear" w:color="auto" w:fill="auto"/>
            <w:noWrap/>
            <w:vAlign w:val="bottom"/>
            <w:hideMark/>
          </w:tcPr>
          <w:p w14:paraId="750F9942"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AR</w:t>
            </w:r>
          </w:p>
        </w:tc>
        <w:tc>
          <w:tcPr>
            <w:tcW w:w="1934" w:type="dxa"/>
            <w:shd w:val="clear" w:color="auto" w:fill="auto"/>
            <w:noWrap/>
            <w:vAlign w:val="bottom"/>
            <w:hideMark/>
          </w:tcPr>
          <w:p w14:paraId="72777E45"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4.4262</w:t>
            </w:r>
          </w:p>
        </w:tc>
        <w:tc>
          <w:tcPr>
            <w:tcW w:w="1900" w:type="dxa"/>
            <w:shd w:val="clear" w:color="auto" w:fill="auto"/>
            <w:noWrap/>
            <w:vAlign w:val="bottom"/>
            <w:hideMark/>
          </w:tcPr>
          <w:p w14:paraId="6D3422A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3.61357</w:t>
            </w:r>
          </w:p>
        </w:tc>
        <w:tc>
          <w:tcPr>
            <w:tcW w:w="1997" w:type="dxa"/>
            <w:shd w:val="clear" w:color="auto" w:fill="auto"/>
            <w:noWrap/>
            <w:vAlign w:val="bottom"/>
            <w:hideMark/>
          </w:tcPr>
          <w:p w14:paraId="0422A88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-0.81263</w:t>
            </w:r>
          </w:p>
        </w:tc>
      </w:tr>
      <w:tr w:rsidR="005A7EC1" w:rsidRPr="005A7EC1" w14:paraId="73A28496" w14:textId="77777777" w:rsidTr="002F6B61">
        <w:trPr>
          <w:trHeight w:val="300"/>
          <w:jc w:val="center"/>
        </w:trPr>
        <w:tc>
          <w:tcPr>
            <w:tcW w:w="992" w:type="dxa"/>
            <w:shd w:val="clear" w:color="auto" w:fill="auto"/>
            <w:noWrap/>
            <w:vAlign w:val="bottom"/>
            <w:hideMark/>
          </w:tcPr>
          <w:p w14:paraId="66AE8E4E"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NRIP1</w:t>
            </w:r>
          </w:p>
        </w:tc>
        <w:tc>
          <w:tcPr>
            <w:tcW w:w="1934" w:type="dxa"/>
            <w:shd w:val="clear" w:color="auto" w:fill="auto"/>
            <w:noWrap/>
            <w:vAlign w:val="bottom"/>
            <w:hideMark/>
          </w:tcPr>
          <w:p w14:paraId="519643B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8.184</w:t>
            </w:r>
          </w:p>
        </w:tc>
        <w:tc>
          <w:tcPr>
            <w:tcW w:w="1900" w:type="dxa"/>
            <w:shd w:val="clear" w:color="auto" w:fill="auto"/>
            <w:noWrap/>
            <w:vAlign w:val="bottom"/>
            <w:hideMark/>
          </w:tcPr>
          <w:p w14:paraId="0CAFB2B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7.253319</w:t>
            </w:r>
          </w:p>
        </w:tc>
        <w:tc>
          <w:tcPr>
            <w:tcW w:w="1997" w:type="dxa"/>
            <w:shd w:val="clear" w:color="auto" w:fill="auto"/>
            <w:noWrap/>
            <w:vAlign w:val="bottom"/>
            <w:hideMark/>
          </w:tcPr>
          <w:p w14:paraId="4B68196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-0.930681</w:t>
            </w:r>
          </w:p>
        </w:tc>
      </w:tr>
    </w:tbl>
    <w:p w14:paraId="4B1C9A34" w14:textId="77777777" w:rsidR="00312698" w:rsidRPr="0012160F" w:rsidRDefault="00312698" w:rsidP="00E05E1C">
      <w:pPr>
        <w:spacing w:after="0" w:line="480" w:lineRule="auto"/>
        <w:ind w:firstLine="720"/>
        <w:rPr>
          <w:rFonts w:ascii="Times New Roman" w:hAnsi="Times New Roman" w:cs="Times New Roman"/>
          <w:sz w:val="24"/>
          <w:szCs w:val="24"/>
        </w:rPr>
      </w:pPr>
    </w:p>
    <w:p w14:paraId="106EDF8B" w14:textId="08829CF5" w:rsidR="00222404" w:rsidRDefault="00792304" w:rsidP="00222404">
      <w:pPr>
        <w:jc w:val="both"/>
        <w:rPr>
          <w:rFonts w:ascii="Times New Roman" w:hAnsi="Times New Roman" w:cs="Times New Roman"/>
          <w:sz w:val="24"/>
          <w:szCs w:val="24"/>
        </w:rPr>
      </w:pPr>
      <w:r w:rsidRPr="00792304">
        <w:rPr>
          <w:rFonts w:ascii="Times New Roman" w:hAnsi="Times New Roman" w:cs="Times New Roman"/>
          <w:sz w:val="24"/>
          <w:szCs w:val="24"/>
        </w:rPr>
        <w:br w:type="page"/>
      </w:r>
    </w:p>
    <w:p w14:paraId="15CC2518" w14:textId="1C7123FB" w:rsidR="00222404" w:rsidRDefault="00222404" w:rsidP="002224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next figure, Figure 1, shows those specific genes with more than 50 per cent change in CBD treated to non-treated sebum in differential expression values with the red scatter points for the down-regulated genes in CBD treated, and blue for up-regulated genes in CBD treated sebum.</w:t>
      </w:r>
    </w:p>
    <w:p w14:paraId="3B7E0C28" w14:textId="5ABA4AF8" w:rsidR="00222404" w:rsidRDefault="00222404" w:rsidP="0022240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CD3624" wp14:editId="5A6473C6">
            <wp:extent cx="5943600" cy="4457700"/>
            <wp:effectExtent l="152400" t="152400" r="361950" b="361950"/>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sRegulatedMostSebumCB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DAF658" w14:textId="3D671868" w:rsidR="00222404" w:rsidRDefault="00222404" w:rsidP="00222404">
      <w:pPr>
        <w:spacing w:after="0" w:line="240" w:lineRule="auto"/>
        <w:rPr>
          <w:rFonts w:ascii="Times New Roman" w:hAnsi="Times New Roman" w:cs="Times New Roman"/>
          <w:sz w:val="24"/>
          <w:szCs w:val="24"/>
        </w:rPr>
      </w:pPr>
      <w:r>
        <w:rPr>
          <w:rFonts w:ascii="Times New Roman" w:hAnsi="Times New Roman" w:cs="Times New Roman"/>
          <w:sz w:val="24"/>
          <w:szCs w:val="24"/>
        </w:rPr>
        <w:t>Figure 2: Differential expression values of those genes having more than 50 per cent change in up or down regulation CBD treated sebum compared to non-treated sebum.</w:t>
      </w:r>
    </w:p>
    <w:p w14:paraId="37202E5D" w14:textId="689F84CB" w:rsidR="00222404" w:rsidRDefault="00222404" w:rsidP="00222404">
      <w:pPr>
        <w:spacing w:after="0" w:line="240" w:lineRule="auto"/>
        <w:rPr>
          <w:rFonts w:ascii="Times New Roman" w:hAnsi="Times New Roman" w:cs="Times New Roman"/>
          <w:sz w:val="24"/>
          <w:szCs w:val="24"/>
        </w:rPr>
      </w:pPr>
    </w:p>
    <w:p w14:paraId="701C02EF" w14:textId="77777777" w:rsidR="00792CAD" w:rsidRDefault="00222404" w:rsidP="00222404">
      <w:pPr>
        <w:spacing w:after="0" w:line="480" w:lineRule="auto"/>
        <w:rPr>
          <w:rFonts w:ascii="Times New Roman" w:hAnsi="Times New Roman" w:cs="Times New Roman"/>
          <w:sz w:val="24"/>
          <w:szCs w:val="24"/>
        </w:rPr>
      </w:pPr>
      <w:r>
        <w:rPr>
          <w:rFonts w:ascii="Times New Roman" w:hAnsi="Times New Roman" w:cs="Times New Roman"/>
          <w:sz w:val="24"/>
          <w:szCs w:val="24"/>
        </w:rPr>
        <w:tab/>
        <w:t>CBD as a cannabinoid alternative pain</w:t>
      </w:r>
      <w:r w:rsidR="00792CAD">
        <w:rPr>
          <w:rFonts w:ascii="Times New Roman" w:hAnsi="Times New Roman" w:cs="Times New Roman"/>
          <w:sz w:val="24"/>
          <w:szCs w:val="24"/>
        </w:rPr>
        <w:t>-</w:t>
      </w:r>
      <w:r>
        <w:rPr>
          <w:rFonts w:ascii="Times New Roman" w:hAnsi="Times New Roman" w:cs="Times New Roman"/>
          <w:sz w:val="24"/>
          <w:szCs w:val="24"/>
        </w:rPr>
        <w:t xml:space="preserve">relieving therapeutic treatment for sebum in acne patient samples, seems to also show the effects that CBD potentially has on genes that regulate inflammation, hormones, pain, and tumor regulation. The sample above was from a very limited group of only three females, but if given enough clients it would be interesting to determine the </w:t>
      </w:r>
      <w:r>
        <w:rPr>
          <w:rFonts w:ascii="Times New Roman" w:hAnsi="Times New Roman" w:cs="Times New Roman"/>
          <w:sz w:val="24"/>
          <w:szCs w:val="24"/>
        </w:rPr>
        <w:lastRenderedPageBreak/>
        <w:t>predictive measures for these same genes in the population as a whole for how well CBD can be used as a therapeutic.</w:t>
      </w:r>
    </w:p>
    <w:p w14:paraId="4AB645DF" w14:textId="7B93CC92" w:rsidR="00222404" w:rsidRDefault="00222404" w:rsidP="00792CAD">
      <w:pPr>
        <w:spacing w:after="0" w:line="480" w:lineRule="auto"/>
        <w:ind w:firstLine="720"/>
        <w:rPr>
          <w:rFonts w:ascii="Times New Roman" w:hAnsi="Times New Roman" w:cs="Times New Roman"/>
          <w:sz w:val="24"/>
          <w:szCs w:val="24"/>
        </w:rPr>
      </w:pPr>
      <w:bookmarkStart w:id="1" w:name="_GoBack"/>
      <w:bookmarkEnd w:id="1"/>
      <w:r>
        <w:rPr>
          <w:rFonts w:ascii="Times New Roman" w:hAnsi="Times New Roman" w:cs="Times New Roman"/>
          <w:sz w:val="24"/>
          <w:szCs w:val="24"/>
        </w:rPr>
        <w:t xml:space="preserve">Ongoing research is still being done on CBD and THC cannabinoids, but given the current literature, it is safe to say that CBD is not toxic and safe to use as a therapeutic for pain relief though it may take </w:t>
      </w:r>
      <w:r w:rsidR="00792CAD">
        <w:rPr>
          <w:rFonts w:ascii="Times New Roman" w:hAnsi="Times New Roman" w:cs="Times New Roman"/>
          <w:sz w:val="24"/>
          <w:szCs w:val="24"/>
        </w:rPr>
        <w:t>a while to be effective, it shows results as soon as one day for improving tumor regulation by up regulating those genes that help immune pathways to kill tumor cells and stop tumor cell proliferation. It also reduces hormonal activity as shown with the down regulated genes responsible for hormone mediation and expression.</w:t>
      </w:r>
    </w:p>
    <w:p w14:paraId="4572BBB7" w14:textId="713B711A" w:rsidR="00363522" w:rsidRDefault="00363522" w:rsidP="00222404">
      <w:pPr>
        <w:spacing w:after="0" w:line="480" w:lineRule="auto"/>
        <w:jc w:val="both"/>
        <w:rPr>
          <w:rFonts w:ascii="Times New Roman" w:hAnsi="Times New Roman" w:cs="Times New Roman"/>
          <w:iCs/>
          <w:sz w:val="24"/>
          <w:szCs w:val="24"/>
        </w:rPr>
      </w:pPr>
      <w:r>
        <w:rPr>
          <w:rFonts w:ascii="Times New Roman" w:hAnsi="Times New Roman" w:cs="Times New Roman"/>
          <w:iCs/>
          <w:sz w:val="24"/>
          <w:szCs w:val="24"/>
        </w:rPr>
        <w:br w:type="page"/>
      </w:r>
    </w:p>
    <w:p w14:paraId="1C485E77" w14:textId="16A562C1" w:rsidR="00814A38" w:rsidRDefault="00792304" w:rsidP="0079230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1CA431A" w14:textId="140BEF40"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Esposito, G., Scuderi, C., Valenza, M., Togna, G., Latina, V., et al. (2011). Cannabidiol Reduces Ab-Induced Neuroinflammation and Promotes Hippocampal Neurogenesis through PPARc Involvement. PLOS One, 6(12).</w:t>
      </w:r>
    </w:p>
    <w:p w14:paraId="28E62C57" w14:textId="150C0934"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Casarett, D., Beliveau, J., and Arbus, M.,(2019). Journal of Palliative Medicine, 22(10).</w:t>
      </w:r>
    </w:p>
    <w:p w14:paraId="09C9D654" w14:textId="5BC2CE4F"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De Filippis, D., Esposito, G., Cirillo, C., Cipriano, M., De Winter, B., et al. (2011). Cannabidiol Reduces Intestinal Inflammation through the Control of Neuroimmune Axis. PLOS One, 6(12).</w:t>
      </w:r>
    </w:p>
    <w:p w14:paraId="2D7F8B17" w14:textId="02291E2E"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Gonçalves, J., Rosado, T., Soares, S., Simão, A., Caramelo, D., Luís, A., Fernández, N., Barroso, M., Gallardo, E., and Duarte, A.(2019). Cannabis and Its Secondary Metabolites: Their Use as Therapeutic Drugs, Toxicological Aspects, and Analytical Determination. Medicines, 6(31).</w:t>
      </w:r>
    </w:p>
    <w:p w14:paraId="7E778A19" w14:textId="02312E48" w:rsidR="00931638" w:rsidRDefault="00931638" w:rsidP="00792304">
      <w:pPr>
        <w:spacing w:after="0" w:line="480" w:lineRule="auto"/>
        <w:ind w:left="720" w:hanging="720"/>
        <w:rPr>
          <w:rFonts w:ascii="Times New Roman" w:hAnsi="Times New Roman" w:cs="Times New Roman"/>
          <w:sz w:val="24"/>
          <w:szCs w:val="24"/>
        </w:rPr>
      </w:pPr>
      <w:r w:rsidRPr="00931638">
        <w:rPr>
          <w:rFonts w:ascii="Times New Roman" w:hAnsi="Times New Roman" w:cs="Times New Roman"/>
          <w:sz w:val="24"/>
          <w:szCs w:val="24"/>
        </w:rPr>
        <w:t>Oláh, A, Tóth, B., Borbíró, I., Sugawara, K., Szöllõsi, A., Czifra, G., Pál, B.,  Ambrus, L., Kloepper, J., Camera, E., Ludovici, M., Picardo, M., Voets, T., Zouboulis, C., Paus, R., and Bíró, T. (2014). Cannabidiol exerts sebostatic and antiinflammatory effects on human sebocytes. Journal of Clinical Investigation, 124(9).</w:t>
      </w:r>
    </w:p>
    <w:p w14:paraId="2611357A" w14:textId="7F39FFC0"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Solinas, M., Massi, P., Cinquina, V., Valenti, M., Bolognini, D., et al. (2013). Cannabidiol, a Non-Psychoactive Cannabinoid Compound, Inhibits Proliferation and Invasion in U87-MG and T98G Glioma Cells through a Multitarget Effect. PLOS One, 8(10).</w:t>
      </w:r>
    </w:p>
    <w:p w14:paraId="6F15570B" w14:textId="1876E7C7"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Swift, W., Wong, A., Li, K., Arnold, J., and McGregor, I. (2013). Analysis of Cannabis Seizures in NSW, Australia: Cannabis Potency and Cannabinoid Profile. PLOS One, 8(7).</w:t>
      </w:r>
    </w:p>
    <w:sectPr w:rsidR="007923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6D703" w14:textId="77777777" w:rsidR="00F23208" w:rsidRDefault="00F23208" w:rsidP="00233C76">
      <w:pPr>
        <w:spacing w:after="0" w:line="240" w:lineRule="auto"/>
      </w:pPr>
      <w:r>
        <w:separator/>
      </w:r>
    </w:p>
  </w:endnote>
  <w:endnote w:type="continuationSeparator" w:id="0">
    <w:p w14:paraId="23B43D2D" w14:textId="77777777" w:rsidR="00F23208" w:rsidRDefault="00F23208" w:rsidP="0023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219DC" w14:textId="77777777" w:rsidR="00F23208" w:rsidRDefault="00F23208" w:rsidP="00233C76">
      <w:pPr>
        <w:spacing w:after="0" w:line="240" w:lineRule="auto"/>
      </w:pPr>
      <w:r>
        <w:separator/>
      </w:r>
    </w:p>
  </w:footnote>
  <w:footnote w:type="continuationSeparator" w:id="0">
    <w:p w14:paraId="395381B2" w14:textId="77777777" w:rsidR="00F23208" w:rsidRDefault="00F23208" w:rsidP="0023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385707"/>
      <w:docPartObj>
        <w:docPartGallery w:val="Page Numbers (Top of Page)"/>
        <w:docPartUnique/>
      </w:docPartObj>
    </w:sdtPr>
    <w:sdtEndPr>
      <w:rPr>
        <w:noProof/>
      </w:rPr>
    </w:sdtEndPr>
    <w:sdtContent>
      <w:p w14:paraId="7AEEAC5F" w14:textId="1B16968A" w:rsidR="00233C76" w:rsidRDefault="00233C76">
        <w:pPr>
          <w:pStyle w:val="Header"/>
          <w:jc w:val="right"/>
        </w:pPr>
        <w:r>
          <w:t xml:space="preserve">CBD treated effect of sebum and acne, </w:t>
        </w:r>
        <w:r>
          <w:fldChar w:fldCharType="begin"/>
        </w:r>
        <w:r>
          <w:instrText xml:space="preserve"> PAGE   \* MERGEFORMAT </w:instrText>
        </w:r>
        <w:r>
          <w:fldChar w:fldCharType="separate"/>
        </w:r>
        <w:r>
          <w:rPr>
            <w:noProof/>
          </w:rPr>
          <w:t>2</w:t>
        </w:r>
        <w:r>
          <w:rPr>
            <w:noProof/>
          </w:rPr>
          <w:fldChar w:fldCharType="end"/>
        </w:r>
      </w:p>
    </w:sdtContent>
  </w:sdt>
  <w:p w14:paraId="1B51A144" w14:textId="77777777" w:rsidR="00233C76" w:rsidRDefault="00233C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38"/>
    <w:rsid w:val="000D51A2"/>
    <w:rsid w:val="0012160F"/>
    <w:rsid w:val="001A0E78"/>
    <w:rsid w:val="001B3C1E"/>
    <w:rsid w:val="002018A5"/>
    <w:rsid w:val="00222404"/>
    <w:rsid w:val="00233C76"/>
    <w:rsid w:val="002F6B61"/>
    <w:rsid w:val="00312698"/>
    <w:rsid w:val="00337C10"/>
    <w:rsid w:val="00363522"/>
    <w:rsid w:val="0058429E"/>
    <w:rsid w:val="005A7EC1"/>
    <w:rsid w:val="0060792E"/>
    <w:rsid w:val="007064AE"/>
    <w:rsid w:val="00753FBD"/>
    <w:rsid w:val="00765CD3"/>
    <w:rsid w:val="00792304"/>
    <w:rsid w:val="00792CAD"/>
    <w:rsid w:val="00814A38"/>
    <w:rsid w:val="009062DA"/>
    <w:rsid w:val="00920E99"/>
    <w:rsid w:val="00931638"/>
    <w:rsid w:val="00965071"/>
    <w:rsid w:val="00A147C6"/>
    <w:rsid w:val="00A640EB"/>
    <w:rsid w:val="00AD4341"/>
    <w:rsid w:val="00B47770"/>
    <w:rsid w:val="00B531FA"/>
    <w:rsid w:val="00B63B99"/>
    <w:rsid w:val="00B773C9"/>
    <w:rsid w:val="00C41A70"/>
    <w:rsid w:val="00C47C4E"/>
    <w:rsid w:val="00C819C9"/>
    <w:rsid w:val="00CD114C"/>
    <w:rsid w:val="00DB0A32"/>
    <w:rsid w:val="00E05E1C"/>
    <w:rsid w:val="00EC7ADD"/>
    <w:rsid w:val="00EE0B22"/>
    <w:rsid w:val="00F2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7112"/>
  <w15:chartTrackingRefBased/>
  <w15:docId w15:val="{9098ED72-4052-4C63-8AEC-F167A0E9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CD3"/>
    <w:rPr>
      <w:color w:val="0563C1" w:themeColor="hyperlink"/>
      <w:u w:val="single"/>
    </w:rPr>
  </w:style>
  <w:style w:type="character" w:styleId="UnresolvedMention">
    <w:name w:val="Unresolved Mention"/>
    <w:basedOn w:val="DefaultParagraphFont"/>
    <w:uiPriority w:val="99"/>
    <w:semiHidden/>
    <w:unhideWhenUsed/>
    <w:rsid w:val="00765CD3"/>
    <w:rPr>
      <w:color w:val="605E5C"/>
      <w:shd w:val="clear" w:color="auto" w:fill="E1DFDD"/>
    </w:rPr>
  </w:style>
  <w:style w:type="paragraph" w:styleId="Header">
    <w:name w:val="header"/>
    <w:basedOn w:val="Normal"/>
    <w:link w:val="HeaderChar"/>
    <w:uiPriority w:val="99"/>
    <w:unhideWhenUsed/>
    <w:rsid w:val="00233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76"/>
  </w:style>
  <w:style w:type="paragraph" w:styleId="Footer">
    <w:name w:val="footer"/>
    <w:basedOn w:val="Normal"/>
    <w:link w:val="FooterChar"/>
    <w:uiPriority w:val="99"/>
    <w:unhideWhenUsed/>
    <w:rsid w:val="00233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76"/>
  </w:style>
  <w:style w:type="table" w:styleId="TableGrid">
    <w:name w:val="Table Grid"/>
    <w:basedOn w:val="TableNormal"/>
    <w:uiPriority w:val="39"/>
    <w:rsid w:val="00312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nJanJan2018/CBD_pain_relief/DE_sebum_order.cs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8</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26</cp:revision>
  <dcterms:created xsi:type="dcterms:W3CDTF">2019-08-18T22:10:00Z</dcterms:created>
  <dcterms:modified xsi:type="dcterms:W3CDTF">2019-08-20T19:42:00Z</dcterms:modified>
</cp:coreProperties>
</file>