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CommentTok"/>
        </w:rPr>
        <w:t xml:space="preserve">#gg &lt;- gg + scale_fill_gradient("Count", low="#DCDCDC", high="#7C7C7C")</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CommentTok"/>
        </w:rPr>
        <w:t xml:space="preserve">#min2015 &lt;- subset(StocksSTATS, StocksSTATS$MonthYear=='Jan-2015')</w:t>
      </w:r>
      <w:r>
        <w:br/>
      </w:r>
      <w:r>
        <w:rPr>
          <w:rStyle w:val="CommentTok"/>
        </w:rPr>
        <w:t xml:space="preserve">#m15 &lt;- min2015[1,"ONCY.Close"]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2020-02-20T20:13:18Z</dcterms:created>
  <dcterms:modified xsi:type="dcterms:W3CDTF">2020-02-20T20:13:18Z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