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58"/>
          <w:szCs w:val="58"/>
        </w:rPr>
      </w:pPr>
      <w:bookmarkStart w:colFirst="0" w:colLast="0" w:name="_5x0d5h95i329" w:id="0"/>
      <w:bookmarkEnd w:id="0"/>
      <w:r w:rsidDel="00000000" w:rsidR="00000000" w:rsidRPr="00000000">
        <w:rPr>
          <w:b w:val="1"/>
          <w:bCs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before="0" w:line="276" w:lineRule="auto"/>
        <w:ind w:left="0" w:firstLine="0"/>
        <w:rPr>
          <w:i w:val="1"/>
          <w:iCs w:val="1"/>
        </w:rPr>
      </w:pPr>
      <w:r w:rsidDel="00000000" w:rsidR="00000000" w:rsidRPr="00000000">
        <w:rPr>
          <w:rtl w:val="0"/>
        </w:rPr>
      </w:r>
    </w:p>
    <w:p w:rsidR="00000000" w:rsidDel="00000000" w:rsidP="00000000" w:rsidRDefault="00000000" w:rsidRPr="00000000" w14:paraId="0000000A">
      <w:pPr>
        <w:spacing w:before="0" w:line="276" w:lineRule="auto"/>
        <w:ind w:left="0" w:firstLine="0"/>
        <w:rPr/>
      </w:pPr>
      <w:r w:rsidDel="00000000" w:rsidR="00000000" w:rsidRPr="00000000">
        <w:rPr>
          <w:i w:val="1"/>
          <w:iCs w:val="1"/>
          <w:rtl w:val="0"/>
        </w:rPr>
        <w:t xml:space="preserve">The database is valuable for the organization because the employees of the company regularly query, or request, data from the server to find potential customers. The database is important because it stores customer information, necessary for an e-commerce company; its revenue is based on its ability to lure customers, a task allowed by querying data in the remote server. The company would suffer a decrease in its utility and corporate image if the database is compromised; the public will know the company as the one who doesn’t protect the data of customers or potential customers.</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Malicious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Perform reconnaissance and surveillance of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Hacktivist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Conduct Denial of Service (DoS)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bl>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3">
      <w:pPr>
        <w:rPr/>
      </w:pPr>
      <w:r w:rsidDel="00000000" w:rsidR="00000000" w:rsidRPr="00000000">
        <w:rPr>
          <w:rtl w:val="0"/>
        </w:rPr>
        <w:t xml:space="preserve">The threats were selected considering the nature of the database and the information it stores, which is misconfigured as public access. The likelihood of a threat occurrence and the impact of these potential events were weighed against the risks to day-to-day operational needs. These threats involve significant business risks which can damage the image, customer strategy and compliance of the organization .</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This includes using strong passwords, role-based access controls, and multi-factor authentication to limit user privileges.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it is strongly recommended the implementation of a defense in depth strategy. This includes measures like implementing encryption of data in motion using TLS instead of SSL; usage of firewalls, Intrusion Prevention Systems and IP allow-listing to corporate offices to prevent random users from the internet from connecting to the database; and usage of antivirus for the remote server.</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