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7nlk2ynsm6v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Access controls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gridCol w:w="3240"/>
        <w:tblGridChange w:id="0">
          <w:tblGrid>
            <w:gridCol w:w="3240"/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rqizykdowjbx" w:id="1"/>
            <w:bookmarkEnd w:id="1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Note(s)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p472q8avw9cl" w:id="2"/>
            <w:bookmarkEnd w:id="2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Issue(s)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20luanqy86lg" w:id="3"/>
            <w:bookmarkEnd w:id="3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Recommendation(s)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  <w:rtl w:val="0"/>
              </w:rPr>
              <w:t xml:space="preserve">Authorization /authentication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An account with Legal/Administrator privileges originated the event.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Occurred at 8:29:57 AM on 10/03/2023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Used the device with IP 152.207.255.255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 user (Robert Taylor Jr.) who originated the event has Admin privileges, even when his role is Legal attorney.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 user account shouldn’t be activated because its end date was at 12/27/2019, years before the event occurred. His account accessed payroll systems in 2023.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 organization should define policies to limit the user privileges per account/role.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Implement technical controls to block access to accounts past their end date, for example access to user accounts expire after 30 days.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Enable MFA.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