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bCs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file has PII of different people, ranging from family and friends of Jorge to workers of the hospital. There are sensitive work files like shift schedules of workers. It isn’t safe to mix personal with work files over the same asset because it makes it more likely to be compromised and if it is, the damage would be major.</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information contained in the USB could be used against employees and relatives of Jorge; it includes information ranging from work schedules, hospital budget and personal information of assistants to his wedding. This information could be used by threat actors to gain access to the business, for example physical access if the actor considers shift schedules of security guards.</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It is necessary to implement operational attacks; educate workers and employees of this kind of threats and the ways to mitigate them. Promoting employee awareness about these types of attacks and what to do when a suspicious USB drive is a control that can reduce the risk of a negative incident. Also, it would be advisable to implement technical controls to limit or prevent workers from moving working files to personal devices like the case of study. USB drives could have malware to accomplish malicious goals, like gain unauthorized access or steal information.</w:t>
            </w:r>
          </w:p>
        </w:tc>
      </w:tr>
    </w:tbl>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