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0D" w:rsidRDefault="0059610D" w:rsidP="00683DDC">
      <w:pPr>
        <w:spacing w:after="0" w:line="240" w:lineRule="auto"/>
      </w:pPr>
      <w:r>
        <w:t>Ein digitales Bild ist immer nur eine Annäherung (Approximation) der Originalabbildung.</w:t>
      </w:r>
    </w:p>
    <w:p w:rsidR="00CD5DE2" w:rsidRDefault="0059610D" w:rsidP="00683DDC">
      <w:pPr>
        <w:spacing w:after="0" w:line="240" w:lineRule="auto"/>
      </w:pPr>
      <w:r>
        <w:t>Bei einem technischen</w:t>
      </w:r>
      <w:r w:rsidR="00CD5DE2">
        <w:t xml:space="preserve"> bildverarbeitende</w:t>
      </w:r>
      <w:r>
        <w:t>n System wird  (heute)</w:t>
      </w:r>
      <w:r w:rsidR="00CD5DE2">
        <w:t xml:space="preserve"> fast ausschließlich ein</w:t>
      </w:r>
    </w:p>
    <w:p w:rsidR="008670F4" w:rsidRDefault="00CD5DE2" w:rsidP="00683DDC">
      <w:pPr>
        <w:spacing w:after="0" w:line="240" w:lineRule="auto"/>
      </w:pPr>
      <w:r>
        <w:t>kartesisches Basisgitter für das Bildraster</w:t>
      </w:r>
      <w:r w:rsidR="0059610D">
        <w:t xml:space="preserve"> benutzt. In der Biologie komme diese Basisgitter oft, wie zum Beispiel die Photorezeptoren im Auge, in einer Wabenstruktur vor. Bei </w:t>
      </w:r>
      <w:r w:rsidR="001E7D32">
        <w:t xml:space="preserve">technischen </w:t>
      </w:r>
      <w:r w:rsidR="0059610D">
        <w:t>Anwen</w:t>
      </w:r>
      <w:r w:rsidR="008670F4">
        <w:t>dungen wird ein hexagonales Gitter verwendet</w:t>
      </w:r>
      <w:r w:rsidR="001E7D32">
        <w:t xml:space="preserve"> (</w:t>
      </w:r>
      <w:r w:rsidR="001E7D32" w:rsidRPr="001E7D32">
        <w:t>http://www.golem.de/news/facettenaugen-forscher-entwickeln-insektenauge-fuer-drohnen-1508-115588.html</w:t>
      </w:r>
      <w:r w:rsidR="001E7D32">
        <w:t>)</w:t>
      </w:r>
      <w:r w:rsidR="0059610D">
        <w:t>.</w:t>
      </w:r>
    </w:p>
    <w:p w:rsidR="00333510" w:rsidRDefault="008670F4" w:rsidP="00683DDC">
      <w:pPr>
        <w:spacing w:after="0" w:line="240" w:lineRule="auto"/>
      </w:pPr>
      <w:r>
        <w:t xml:space="preserve"> </w:t>
      </w:r>
      <w:r w:rsidR="001E7D32">
        <w:t xml:space="preserve">Für die technische Bildverarbeitung werden rechteckige bzw. quadratische Strukturen verwendet, sogenannte Pixel. </w:t>
      </w:r>
      <w:r w:rsidR="00683DDC">
        <w:t xml:space="preserve">Somit wird eine </w:t>
      </w:r>
      <w:r w:rsidR="00CD5DE2">
        <w:t>einfache mathematische Behandlung</w:t>
      </w:r>
      <w:r w:rsidR="00683DDC">
        <w:t xml:space="preserve"> über Matrizen ermöglicht.</w:t>
      </w:r>
    </w:p>
    <w:p w:rsidR="00683DDC" w:rsidRDefault="00683DDC" w:rsidP="00683DDC">
      <w:pPr>
        <w:spacing w:after="0" w:line="240" w:lineRule="auto"/>
      </w:pPr>
    </w:p>
    <w:p w:rsidR="00683DDC" w:rsidRPr="00683DDC" w:rsidRDefault="00683DDC" w:rsidP="00683DDC">
      <w:pPr>
        <w:spacing w:after="0" w:line="240" w:lineRule="auto"/>
        <w:rPr>
          <w:b/>
        </w:rPr>
      </w:pPr>
      <w:r w:rsidRPr="00683DDC">
        <w:rPr>
          <w:b/>
        </w:rPr>
        <w:t>Quantisierung</w:t>
      </w:r>
    </w:p>
    <w:p w:rsidR="00CD5DE2" w:rsidRDefault="00CD5DE2" w:rsidP="00683DDC">
      <w:pPr>
        <w:spacing w:after="0" w:line="240" w:lineRule="auto"/>
      </w:pPr>
      <w:r>
        <w:t>Unter Quantisierung versteht man die Bewertung der</w:t>
      </w:r>
      <w:r w:rsidR="0059610D">
        <w:t xml:space="preserve"> </w:t>
      </w:r>
      <w:r>
        <w:t>Helligkeit (Intensität) eines Pixels mittels einer</w:t>
      </w:r>
    </w:p>
    <w:p w:rsidR="00CD5DE2" w:rsidRDefault="00CD5DE2" w:rsidP="00683DDC">
      <w:pPr>
        <w:spacing w:after="0" w:line="240" w:lineRule="auto"/>
      </w:pPr>
      <w:r>
        <w:t>festgelegten Grauwert- bzw. Farben-Menge,</w:t>
      </w:r>
      <w:r w:rsidR="0059610D">
        <w:t xml:space="preserve"> </w:t>
      </w:r>
      <w:r>
        <w:t>z.B. natürliche Zahlen von 0 bis 255</w:t>
      </w:r>
      <w:r w:rsidR="00683DDC">
        <w:t>.</w:t>
      </w:r>
    </w:p>
    <w:p w:rsidR="005E1706" w:rsidRDefault="005E1706" w:rsidP="00017E06">
      <w:pPr>
        <w:spacing w:after="0" w:line="240" w:lineRule="auto"/>
      </w:pPr>
    </w:p>
    <w:p w:rsidR="00ED3908" w:rsidRDefault="00ED3908" w:rsidP="00017E06">
      <w:pPr>
        <w:spacing w:after="0" w:line="240" w:lineRule="auto"/>
      </w:pPr>
    </w:p>
    <w:p w:rsidR="00ED3908" w:rsidRDefault="00ED3908" w:rsidP="00017E06">
      <w:pPr>
        <w:spacing w:after="0" w:line="240" w:lineRule="auto"/>
      </w:pPr>
    </w:p>
    <w:p w:rsidR="00ED3908" w:rsidRDefault="00ED3908" w:rsidP="00017E06">
      <w:pPr>
        <w:spacing w:after="0" w:line="240" w:lineRule="auto"/>
      </w:pPr>
    </w:p>
    <w:p w:rsidR="00DE0C8C" w:rsidRDefault="00DE0C8C" w:rsidP="00DE0C8C">
      <w:pPr>
        <w:spacing w:after="0" w:line="240" w:lineRule="auto"/>
      </w:pPr>
      <w:r>
        <w:t xml:space="preserve">Die </w:t>
      </w:r>
      <w:r w:rsidRPr="00ED3908">
        <w:rPr>
          <w:b/>
        </w:rPr>
        <w:t>skalare Quantisierung</w:t>
      </w:r>
      <w:r>
        <w:t xml:space="preserve"> ordnet jedem </w:t>
      </w:r>
      <w:r w:rsidR="00934EBE">
        <w:t>Eingangs</w:t>
      </w:r>
      <w:r>
        <w:t xml:space="preserve">wert einen quantisierten Wert aus einer endlichen Wertemenge zu. Die Zuordnung erfolgt dabei im einfachsten Fall linear auf Basis eines Rasters mit </w:t>
      </w:r>
    </w:p>
    <w:p w:rsidR="00DE0C8C" w:rsidRDefault="00DE0C8C" w:rsidP="00DE0C8C">
      <w:pPr>
        <w:spacing w:after="0" w:line="240" w:lineRule="auto"/>
      </w:pPr>
      <w:r>
        <w:t xml:space="preserve">Intervallen fester Länge. </w:t>
      </w:r>
      <w:r w:rsidR="00934EBE">
        <w:t>Durch die Abbildung aller</w:t>
      </w:r>
      <w:r>
        <w:t xml:space="preserve"> </w:t>
      </w:r>
      <w:r w:rsidR="00934EBE">
        <w:t>Eingangswerte</w:t>
      </w:r>
      <w:r>
        <w:t xml:space="preserve"> innerhalb eines bestimmten Intervalls auf denselben quantisierten Wert </w:t>
      </w:r>
      <w:r w:rsidR="00934EBE">
        <w:t>entsteht</w:t>
      </w:r>
      <w:r>
        <w:t xml:space="preserve"> verlustbeh</w:t>
      </w:r>
      <w:r w:rsidR="00934EBE">
        <w:t>aftete Datenkompression</w:t>
      </w:r>
      <w:r>
        <w:t xml:space="preserve">. </w:t>
      </w:r>
      <w:r w:rsidR="00934EBE">
        <w:t>U</w:t>
      </w:r>
      <w:r>
        <w:t>m bestimmte Werte stärker zu quantisieren als andere</w:t>
      </w:r>
      <w:r w:rsidR="00934EBE">
        <w:t>, können anstelle eines festen Rasters auch unterschiedliche Intervallbreiten gewählt werden</w:t>
      </w:r>
      <w:r>
        <w:t xml:space="preserve">. </w:t>
      </w:r>
      <w:r w:rsidR="00934EBE">
        <w:t xml:space="preserve">Durch die </w:t>
      </w:r>
      <w:r>
        <w:t>Einschränkungen der menschlichen Wahrnehmung</w:t>
      </w:r>
      <w:r w:rsidR="00934EBE">
        <w:t xml:space="preserve"> kann es beispielsweise Sinn machen unterschiedliche Intervallbreiten zu verwenden. Dieses Verfahren wird als</w:t>
      </w:r>
      <w:r>
        <w:t xml:space="preserve"> nichtlineare Quantisierung bezeichnet. </w:t>
      </w:r>
      <w:r w:rsidR="0051295F">
        <w:t>[2]</w:t>
      </w:r>
    </w:p>
    <w:p w:rsidR="00DE0C8C" w:rsidRDefault="00DE0C8C" w:rsidP="00DE0C8C">
      <w:pPr>
        <w:spacing w:after="0" w:line="240" w:lineRule="auto"/>
      </w:pPr>
      <w:r>
        <w:t xml:space="preserve">Die </w:t>
      </w:r>
      <w:r w:rsidRPr="00ED3908">
        <w:rPr>
          <w:b/>
        </w:rPr>
        <w:t>Vektorquantisierung</w:t>
      </w:r>
      <w:r>
        <w:t xml:space="preserve"> berücksichtigt </w:t>
      </w:r>
      <w:r w:rsidR="00934EBE">
        <w:t>mehre</w:t>
      </w:r>
      <w:r>
        <w:t xml:space="preserve"> Signalwerte gleichzeitig, die als Vektor des </w:t>
      </w:r>
      <w:r w:rsidR="00934EBE">
        <w:t>mehr</w:t>
      </w:r>
      <w:r>
        <w:t>dimensionalen Raums aufgefasst werden. Wie die skalare Quantisierung stellt auch die Vektorquantisierung einen verlustbehafteten Vorgang dar. Ein Vektorquanti</w:t>
      </w:r>
      <w:bookmarkStart w:id="0" w:name="_GoBack"/>
      <w:bookmarkEnd w:id="0"/>
      <w:r>
        <w:t xml:space="preserve">sierer bildet </w:t>
      </w:r>
      <w:r w:rsidR="00ED3908">
        <w:t>E</w:t>
      </w:r>
      <w:r>
        <w:t>ingabevektoren auf eine endli</w:t>
      </w:r>
      <w:r w:rsidR="00934EBE">
        <w:t>che Menge</w:t>
      </w:r>
      <w:r>
        <w:t xml:space="preserve"> ab, die </w:t>
      </w:r>
      <w:r w:rsidR="00934EBE">
        <w:t xml:space="preserve">aus </w:t>
      </w:r>
      <w:r>
        <w:t xml:space="preserve">Ausgabevektoren besteht. Für die Wahl der Ausgabevektoren können verschiedene Kriterien herangezogen werden. Im einfachsten Fall kommt das euklidische Abstandsmaß der Vektoren zum Einsatz. </w:t>
      </w:r>
      <w:r w:rsidR="00934EBE">
        <w:t xml:space="preserve">Die Menge </w:t>
      </w:r>
      <w:r>
        <w:t>der Ausgabevektoren wird als Codebuch bezeichnet. Die größte Herausforderung bei der Vektorquantisierung ist die Wahl eines geeigneten Codebuchs. Dieses muss in einer Trainingsphase mit Hilfe charakteristischer Signalvektoren optim</w:t>
      </w:r>
      <w:r w:rsidR="00ED3908">
        <w:t>iert und so an typische Signal</w:t>
      </w:r>
      <w:r>
        <w:t>statistiken angepasst werden. Ein ver</w:t>
      </w:r>
      <w:r w:rsidR="00ED3908">
        <w:t>breiteter Algorithmus zur Code</w:t>
      </w:r>
      <w:r>
        <w:t>buch-Erstellung</w:t>
      </w:r>
      <w:r w:rsidR="00ED3908">
        <w:t xml:space="preserve"> ist der LBG-Algorithmus</w:t>
      </w:r>
      <w:r>
        <w:t xml:space="preserve">. </w:t>
      </w:r>
      <w:r w:rsidR="0051295F">
        <w:t>[2]</w:t>
      </w:r>
    </w:p>
    <w:p w:rsidR="00ED3908" w:rsidRDefault="00ED3908" w:rsidP="00DE0C8C">
      <w:pPr>
        <w:spacing w:after="0" w:line="240" w:lineRule="auto"/>
      </w:pPr>
    </w:p>
    <w:p w:rsidR="00ED3908" w:rsidRDefault="001158EE" w:rsidP="00ED3908">
      <w:pPr>
        <w:spacing w:after="0" w:line="240" w:lineRule="auto"/>
      </w:pPr>
      <w:r>
        <w:t>[3]</w:t>
      </w:r>
      <w:r w:rsidR="00ED3908">
        <w:t xml:space="preserve">Tabelle 9.3. Vergleich zwischen skalarer Quantisierung und Vektorquantisierung </w:t>
      </w:r>
    </w:p>
    <w:p w:rsidR="0082143E" w:rsidRDefault="0082143E" w:rsidP="00ED3908">
      <w:pPr>
        <w:spacing w:after="0"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3908" w:rsidRPr="00ED3908" w:rsidTr="00ED3908">
        <w:tc>
          <w:tcPr>
            <w:tcW w:w="4531" w:type="dxa"/>
          </w:tcPr>
          <w:p w:rsidR="00ED3908" w:rsidRPr="0082143E" w:rsidRDefault="00ED3908" w:rsidP="00934EBE">
            <w:pPr>
              <w:rPr>
                <w:rFonts w:ascii="Times New Roman" w:hAnsi="Times New Roman" w:cs="Times New Roman"/>
                <w:b/>
              </w:rPr>
            </w:pPr>
            <w:r w:rsidRPr="0082143E">
              <w:rPr>
                <w:rFonts w:ascii="Times New Roman" w:hAnsi="Times New Roman" w:cs="Times New Roman"/>
                <w:b/>
              </w:rPr>
              <w:t xml:space="preserve">Skalare Quantisierung </w:t>
            </w:r>
          </w:p>
        </w:tc>
        <w:tc>
          <w:tcPr>
            <w:tcW w:w="4531" w:type="dxa"/>
          </w:tcPr>
          <w:p w:rsidR="00ED3908" w:rsidRPr="0082143E" w:rsidRDefault="00ED3908" w:rsidP="00934EBE">
            <w:pPr>
              <w:rPr>
                <w:rFonts w:ascii="Times New Roman" w:hAnsi="Times New Roman" w:cs="Times New Roman"/>
                <w:b/>
              </w:rPr>
            </w:pPr>
            <w:r w:rsidRPr="0082143E">
              <w:rPr>
                <w:rFonts w:ascii="Times New Roman" w:hAnsi="Times New Roman" w:cs="Times New Roman"/>
                <w:b/>
              </w:rPr>
              <w:t xml:space="preserve">Vektorquantisierung </w:t>
            </w:r>
          </w:p>
        </w:tc>
      </w:tr>
      <w:tr w:rsidR="00ED3908" w:rsidRPr="00ED3908" w:rsidTr="00ED3908">
        <w:tc>
          <w:tcPr>
            <w:tcW w:w="4531" w:type="dxa"/>
          </w:tcPr>
          <w:p w:rsidR="00ED3908" w:rsidRPr="0082143E" w:rsidRDefault="00ED3908" w:rsidP="00ED3908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 xml:space="preserve">Eingangswert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 xml:space="preserve"> ∈ R</m:t>
              </m:r>
            </m:oMath>
          </w:p>
        </w:tc>
        <w:tc>
          <w:tcPr>
            <w:tcW w:w="4531" w:type="dxa"/>
          </w:tcPr>
          <w:p w:rsidR="00ED3908" w:rsidRPr="0082143E" w:rsidRDefault="00ED3908" w:rsidP="00ED3908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 xml:space="preserve">Eingangsvektor </w:t>
            </w:r>
            <m:oMath>
              <m:r>
                <w:rPr>
                  <w:rFonts w:ascii="Cambria Math" w:hAnsi="Cambria Math" w:cs="Times New Roman"/>
                </w:rPr>
                <m:t xml:space="preserve">x ∈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oMath>
          </w:p>
        </w:tc>
      </w:tr>
      <w:tr w:rsidR="00ED3908" w:rsidRPr="00ED3908" w:rsidTr="00ED3908">
        <w:tc>
          <w:tcPr>
            <w:tcW w:w="4531" w:type="dxa"/>
          </w:tcPr>
          <w:p w:rsidR="00ED3908" w:rsidRPr="0082143E" w:rsidRDefault="00ED3908" w:rsidP="00ED3908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 xml:space="preserve">Ausgangswert </w:t>
            </w:r>
            <m:oMath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 xml:space="preserve"> ∈ R</m:t>
              </m:r>
            </m:oMath>
            <w:r w:rsidRPr="0082143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1" w:type="dxa"/>
          </w:tcPr>
          <w:p w:rsidR="00ED3908" w:rsidRPr="0082143E" w:rsidRDefault="00ED3908" w:rsidP="00ED3908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 xml:space="preserve">Ausgangsvektor </w:t>
            </w:r>
            <m:oMath>
              <m:r>
                <w:rPr>
                  <w:rFonts w:ascii="Cambria Math" w:hAnsi="Cambria Math" w:cs="Times New Roman"/>
                </w:rPr>
                <m:t xml:space="preserve">y ∈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oMath>
          </w:p>
        </w:tc>
      </w:tr>
      <w:tr w:rsidR="00ED3908" w:rsidRPr="00ED3908" w:rsidTr="00ED3908">
        <w:tc>
          <w:tcPr>
            <w:tcW w:w="4531" w:type="dxa"/>
          </w:tcPr>
          <w:p w:rsidR="00ED3908" w:rsidRPr="0082143E" w:rsidRDefault="00ED3908" w:rsidP="00934EBE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 xml:space="preserve">Mögliche Ausgangswerte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</w:p>
        </w:tc>
        <w:tc>
          <w:tcPr>
            <w:tcW w:w="4531" w:type="dxa"/>
          </w:tcPr>
          <w:p w:rsidR="00ED3908" w:rsidRPr="0082143E" w:rsidRDefault="00934EBE" w:rsidP="00934EBE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>C</w:t>
            </w:r>
            <w:r w:rsidR="00ED3908" w:rsidRPr="0082143E">
              <w:rPr>
                <w:rFonts w:ascii="Times New Roman" w:hAnsi="Times New Roman" w:cs="Times New Roman"/>
              </w:rPr>
              <w:t xml:space="preserve">odevektoren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∈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</m:oMath>
            <w:r w:rsidR="00ED3908" w:rsidRPr="0082143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3908" w:rsidRPr="00ED3908" w:rsidTr="00ED3908">
        <w:tc>
          <w:tcPr>
            <w:tcW w:w="4531" w:type="dxa"/>
          </w:tcPr>
          <w:p w:rsidR="00ED3908" w:rsidRPr="0082143E" w:rsidRDefault="00934EBE" w:rsidP="00ED3908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>Quantisi</w:t>
            </w:r>
            <w:r w:rsidR="00ED3908" w:rsidRPr="0082143E">
              <w:rPr>
                <w:rFonts w:ascii="Times New Roman" w:hAnsi="Times New Roman" w:cs="Times New Roman"/>
              </w:rPr>
              <w:t xml:space="preserve">erungsintervall </w:t>
            </w:r>
          </w:p>
        </w:tc>
        <w:tc>
          <w:tcPr>
            <w:tcW w:w="4531" w:type="dxa"/>
          </w:tcPr>
          <w:p w:rsidR="00ED3908" w:rsidRPr="0082143E" w:rsidRDefault="00ED3908" w:rsidP="00ED3908">
            <w:pPr>
              <w:rPr>
                <w:rFonts w:ascii="Times New Roman" w:hAnsi="Times New Roman" w:cs="Times New Roman"/>
              </w:rPr>
            </w:pPr>
            <w:r w:rsidRPr="0082143E">
              <w:rPr>
                <w:rFonts w:ascii="Times New Roman" w:hAnsi="Times New Roman" w:cs="Times New Roman"/>
              </w:rPr>
              <w:t>Quantisierungszelle</w:t>
            </w:r>
          </w:p>
        </w:tc>
      </w:tr>
    </w:tbl>
    <w:p w:rsidR="00ED3908" w:rsidRDefault="00ED3908" w:rsidP="00ED3908">
      <w:pPr>
        <w:spacing w:after="0" w:line="240" w:lineRule="auto"/>
      </w:pPr>
    </w:p>
    <w:p w:rsidR="0082143E" w:rsidRDefault="0082143E" w:rsidP="00ED3908">
      <w:pPr>
        <w:spacing w:after="0" w:line="240" w:lineRule="auto"/>
      </w:pPr>
    </w:p>
    <w:p w:rsidR="00934EBE" w:rsidRDefault="00293C85" w:rsidP="00ED3908">
      <w:pPr>
        <w:spacing w:after="0" w:line="240" w:lineRule="auto"/>
      </w:pPr>
      <w:r>
        <w:t>Auf Grund der einfacheren Umsetzung in ein lauffähiges Programm haben wir uns für die skalare Quantisierung entschieden, obwohl die Vektorquantisierung für</w:t>
      </w:r>
      <w:r w:rsidR="00FE29B5">
        <w:t xml:space="preserve"> </w:t>
      </w:r>
      <w:r w:rsidR="00FE29B5" w:rsidRPr="00FE29B5">
        <w:rPr>
          <w:color w:val="FF0000"/>
        </w:rPr>
        <w:t xml:space="preserve">die Quantisierung </w:t>
      </w:r>
      <w:r w:rsidR="00FE29B5">
        <w:t>von Bildern</w:t>
      </w:r>
      <w:r>
        <w:t xml:space="preserve"> besser geeignet wäre.</w:t>
      </w:r>
    </w:p>
    <w:p w:rsidR="00934EBE" w:rsidRDefault="00934EBE" w:rsidP="00ED3908">
      <w:pPr>
        <w:spacing w:after="0" w:line="240" w:lineRule="auto"/>
      </w:pPr>
    </w:p>
    <w:p w:rsidR="00934EBE" w:rsidRDefault="0051295F" w:rsidP="00ED3908">
      <w:pPr>
        <w:spacing w:after="0" w:line="240" w:lineRule="auto"/>
      </w:pPr>
      <w:r>
        <w:t>[1]</w:t>
      </w:r>
      <w:hyperlink r:id="rId4" w:anchor="v=onepage&amp;q=skalare%20quantisierung&amp;f=false" w:history="1">
        <w:r w:rsidR="00934EBE" w:rsidRPr="000500A1">
          <w:rPr>
            <w:rStyle w:val="Hyperlink"/>
          </w:rPr>
          <w:t>https://books.google.de/books?id=3u5hboQaJAYC&amp;pg=PA293&amp;dq=skalare+quantisierung&amp;hl=de&amp;sa=X&amp;ved=0ahUKEwia4ub83aTKAhUCAHMKHSlDAS8Q6AEIIzAB#v=onepage&amp;q=skalare%20quantisierung&amp;f=false</w:t>
        </w:r>
      </w:hyperlink>
    </w:p>
    <w:p w:rsidR="00934EBE" w:rsidRDefault="00934EBE" w:rsidP="00ED3908">
      <w:pPr>
        <w:spacing w:after="0" w:line="240" w:lineRule="auto"/>
      </w:pPr>
    </w:p>
    <w:p w:rsidR="00934EBE" w:rsidRDefault="0051295F" w:rsidP="00ED3908">
      <w:pPr>
        <w:spacing w:after="0" w:line="240" w:lineRule="auto"/>
      </w:pPr>
      <w:r>
        <w:lastRenderedPageBreak/>
        <w:t>[2]</w:t>
      </w:r>
      <w:hyperlink r:id="rId5" w:anchor="v=onepage&amp;q=skalare%20quantisierung&amp;f=false" w:history="1">
        <w:r w:rsidR="00934EBE" w:rsidRPr="000500A1">
          <w:rPr>
            <w:rStyle w:val="Hyperlink"/>
          </w:rPr>
          <w:t>https://books.google.de/books?id=cGFqhe6kS1MC&amp;pg=PA7&amp;dq=skalare+quantisierung&amp;hl=de&amp;sa=X&amp;ved=0ahUKEwia4ub83aTKAhUCAHMKHSlDAS8Q6AEIKjAC#v=onepage&amp;q=skalare%20quantisierung&amp;f=false</w:t>
        </w:r>
      </w:hyperlink>
    </w:p>
    <w:p w:rsidR="00934EBE" w:rsidRDefault="00934EBE" w:rsidP="00ED3908">
      <w:pPr>
        <w:spacing w:after="0" w:line="240" w:lineRule="auto"/>
      </w:pPr>
    </w:p>
    <w:p w:rsidR="001158EE" w:rsidRDefault="001158EE" w:rsidP="00ED3908">
      <w:pPr>
        <w:spacing w:after="0" w:line="240" w:lineRule="auto"/>
      </w:pPr>
      <w:r>
        <w:t>[3]</w:t>
      </w:r>
      <w:hyperlink r:id="rId6" w:anchor="v=onepage&amp;q=Vergleich%20zwischen%20skalarer%20Quantisierung%20und%20Vektorquantisierung&amp;f=false" w:history="1">
        <w:r w:rsidRPr="00944DA1">
          <w:rPr>
            <w:rStyle w:val="Hyperlink"/>
          </w:rPr>
          <w:t>https://books.google.de/books?id=gGkGBgAAQBAJ&amp;pg=PA311&amp;lpg=PA311&amp;dq=Vergleich+zwischen+skalarer+Quantisierung+und+Vektorquantisierung&amp;source=bl&amp;ots=bdLrrRrFJN&amp;sig=RzHDyR2ys-7bF2KkLUgnTFutHVE&amp;hl=de&amp;sa=X&amp;ved=0ahUKEwj6te2mucXKAhVk8XIKHbI5C9UQ6AEIHDAA#v=onepage&amp;q=Vergleich%20zwischen%20skalarer%20Quantisierung%20und%20Vektorquantisierung&amp;f=false</w:t>
        </w:r>
      </w:hyperlink>
    </w:p>
    <w:p w:rsidR="001158EE" w:rsidRDefault="001158EE" w:rsidP="00ED3908">
      <w:pPr>
        <w:spacing w:after="0" w:line="240" w:lineRule="auto"/>
      </w:pPr>
    </w:p>
    <w:p w:rsidR="001158EE" w:rsidRDefault="001158EE" w:rsidP="00ED3908">
      <w:pPr>
        <w:spacing w:after="0" w:line="240" w:lineRule="auto"/>
      </w:pPr>
    </w:p>
    <w:p w:rsidR="00934EBE" w:rsidRDefault="00130487" w:rsidP="00ED3908">
      <w:pPr>
        <w:spacing w:after="0" w:line="240" w:lineRule="auto"/>
      </w:pPr>
      <w:hyperlink r:id="rId7" w:anchor="v=onepage&amp;q=skalare%20quantisierung&amp;f=false" w:history="1">
        <w:r w:rsidR="00934EBE" w:rsidRPr="000500A1">
          <w:rPr>
            <w:rStyle w:val="Hyperlink"/>
          </w:rPr>
          <w:t>https://books.google.de/books?id=xE4pBAAAQBAJ&amp;pg=PA21&amp;lpg=PA21&amp;dq=skalare+quantisierung&amp;source=bl&amp;ots=l8yNP6oKdP&amp;sig=N_laGQRCQegdKW6yZrQIOl-7CvY&amp;hl=de&amp;sa=X&amp;ved=0ahUKEwii8KTA2aTKAhWK_HIKHWnlBIQQ6AEIOTAE#v=onepage&amp;q=skalare%20quantisierung&amp;f=false</w:t>
        </w:r>
      </w:hyperlink>
    </w:p>
    <w:p w:rsidR="00934EBE" w:rsidRDefault="00934EBE" w:rsidP="00ED3908">
      <w:pPr>
        <w:spacing w:after="0" w:line="240" w:lineRule="auto"/>
      </w:pPr>
    </w:p>
    <w:p w:rsidR="00934EBE" w:rsidRDefault="00130487" w:rsidP="00ED3908">
      <w:pPr>
        <w:spacing w:after="0" w:line="240" w:lineRule="auto"/>
      </w:pPr>
      <w:hyperlink r:id="rId8" w:anchor="v=onepage&amp;q=skalare%20quantisierung&amp;f=false" w:history="1">
        <w:r w:rsidR="001158EE" w:rsidRPr="00944DA1">
          <w:rPr>
            <w:rStyle w:val="Hyperlink"/>
          </w:rPr>
          <w:t>https://books.google.de/books?id=HaehBgAAQBAJ&amp;pg=PA279&amp;lpg=PA279&amp;dq=skalare+quantisierung&amp;source=bl&amp;ots=IzyfOHWRn7&amp;sig=ZcfzC7_EftWlIc261zytfv1bnqA&amp;hl=de&amp;sa=X&amp;ved=0ahUKEwjg1u64tsXKAhVqwHIKHe2jDTo4ChDoAQgmMAM#v=onepage&amp;q=skalare%20quantisierung&amp;f=false</w:t>
        </w:r>
      </w:hyperlink>
    </w:p>
    <w:p w:rsidR="001158EE" w:rsidRDefault="001158EE" w:rsidP="00ED3908">
      <w:pPr>
        <w:spacing w:after="0" w:line="240" w:lineRule="auto"/>
      </w:pPr>
    </w:p>
    <w:p w:rsidR="001158EE" w:rsidRDefault="00130487" w:rsidP="00ED3908">
      <w:pPr>
        <w:spacing w:after="0" w:line="240" w:lineRule="auto"/>
      </w:pPr>
      <w:hyperlink r:id="rId9" w:anchor="v=onepage&amp;q=skalare%20quantisierung&amp;f=false" w:history="1">
        <w:r w:rsidR="001158EE" w:rsidRPr="00944DA1">
          <w:rPr>
            <w:rStyle w:val="Hyperlink"/>
          </w:rPr>
          <w:t>https://books.google.de/books?id=uacnBAAAQBAJ&amp;pg=PA100&amp;lpg=PA100&amp;dq=skalare+quantisierung&amp;source=bl&amp;ots=Pcvxrl9KTj&amp;sig=uJDNW0AYLdGReFlHfixixJFCPRI&amp;hl=de&amp;sa=X&amp;ved=0ahUKEwjg1u64tsXKAhVqwHIKHe2jDTo4ChDoAQgpMAQ#v=onepage&amp;q=skalare%20quantisierung&amp;f=false</w:t>
        </w:r>
      </w:hyperlink>
    </w:p>
    <w:p w:rsidR="001158EE" w:rsidRDefault="001158EE" w:rsidP="00ED3908">
      <w:pPr>
        <w:spacing w:after="0" w:line="240" w:lineRule="auto"/>
      </w:pPr>
    </w:p>
    <w:p w:rsidR="001158EE" w:rsidRDefault="00130487" w:rsidP="00ED3908">
      <w:pPr>
        <w:spacing w:after="0" w:line="240" w:lineRule="auto"/>
      </w:pPr>
      <w:hyperlink r:id="rId10" w:anchor="v=onepage&amp;q=quantisierung%20definition&amp;f=false" w:history="1">
        <w:r w:rsidR="001158EE" w:rsidRPr="00944DA1">
          <w:rPr>
            <w:rStyle w:val="Hyperlink"/>
          </w:rPr>
          <w:t>https://books.google.de/books?id=qL_PBgAAQBAJ&amp;pg=PA242&amp;lpg=PA242&amp;dq=quantisierung+definition&amp;source=bl&amp;ots=yyMneVQeFN&amp;sig=Y0i4FhhKjtj3EgMFUTqWzwmZeCQ&amp;hl=de&amp;sa=X&amp;ved=0ahUKEwiEjI-ht8XKAhVC9HIKHbgtDw44ChDoAQg4MAc#v=onepage&amp;q=quantisierung%20definition&amp;f=false</w:t>
        </w:r>
      </w:hyperlink>
    </w:p>
    <w:p w:rsidR="001158EE" w:rsidRDefault="001158EE" w:rsidP="00ED3908">
      <w:pPr>
        <w:spacing w:after="0" w:line="240" w:lineRule="auto"/>
      </w:pPr>
    </w:p>
    <w:p w:rsidR="001158EE" w:rsidRDefault="001158EE" w:rsidP="00ED3908">
      <w:pPr>
        <w:spacing w:after="0" w:line="240" w:lineRule="auto"/>
      </w:pPr>
    </w:p>
    <w:sectPr w:rsidR="00115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E2"/>
    <w:rsid w:val="00017E06"/>
    <w:rsid w:val="001158EE"/>
    <w:rsid w:val="00130487"/>
    <w:rsid w:val="001E7D32"/>
    <w:rsid w:val="00293C85"/>
    <w:rsid w:val="00333510"/>
    <w:rsid w:val="0036219F"/>
    <w:rsid w:val="0051295F"/>
    <w:rsid w:val="0059610D"/>
    <w:rsid w:val="005E1706"/>
    <w:rsid w:val="00683DDC"/>
    <w:rsid w:val="0082143E"/>
    <w:rsid w:val="008670F4"/>
    <w:rsid w:val="00934EBE"/>
    <w:rsid w:val="0097119A"/>
    <w:rsid w:val="00BC22B1"/>
    <w:rsid w:val="00CD5DE2"/>
    <w:rsid w:val="00DE0C8C"/>
    <w:rsid w:val="00ED3908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5E762-AE90-4772-8081-A46FF82E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4EBE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2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de/books?id=HaehBgAAQBAJ&amp;pg=PA279&amp;lpg=PA279&amp;dq=skalare+quantisierung&amp;source=bl&amp;ots=IzyfOHWRn7&amp;sig=ZcfzC7_EftWlIc261zytfv1bnqA&amp;hl=de&amp;sa=X&amp;ved=0ahUKEwjg1u64tsXKAhVqwHIKHe2jDTo4ChDoAQgmM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ks.google.de/books?id=xE4pBAAAQBAJ&amp;pg=PA21&amp;lpg=PA21&amp;dq=skalare+quantisierung&amp;source=bl&amp;ots=l8yNP6oKdP&amp;sig=N_laGQRCQegdKW6yZrQIOl-7CvY&amp;hl=de&amp;sa=X&amp;ved=0ahUKEwii8KTA2aTKAhWK_HIKHWnlBIQQ6AEIOTA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s.google.de/books?id=gGkGBgAAQBAJ&amp;pg=PA311&amp;lpg=PA311&amp;dq=Vergleich+zwischen+skalarer+Quantisierung+und+Vektorquantisierung&amp;source=bl&amp;ots=bdLrrRrFJN&amp;sig=RzHDyR2ys-7bF2KkLUgnTFutHVE&amp;hl=de&amp;sa=X&amp;ved=0ahUKEwj6te2mucXKAhVk8XIKHbI5C9UQ6AEIHDA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oks.google.de/books?id=cGFqhe6kS1MC&amp;pg=PA7&amp;dq=skalare+quantisierung&amp;hl=de&amp;sa=X&amp;ved=0ahUKEwia4ub83aTKAhUCAHMKHSlDAS8Q6AEIKjAC" TargetMode="External"/><Relationship Id="rId10" Type="http://schemas.openxmlformats.org/officeDocument/2006/relationships/hyperlink" Target="https://books.google.de/books?id=qL_PBgAAQBAJ&amp;pg=PA242&amp;lpg=PA242&amp;dq=quantisierung+definition&amp;source=bl&amp;ots=yyMneVQeFN&amp;sig=Y0i4FhhKjtj3EgMFUTqWzwmZeCQ&amp;hl=de&amp;sa=X&amp;ved=0ahUKEwiEjI-ht8XKAhVC9HIKHbgtDw44ChDoAQg4MAc" TargetMode="External"/><Relationship Id="rId4" Type="http://schemas.openxmlformats.org/officeDocument/2006/relationships/hyperlink" Target="https://books.google.de/books?id=3u5hboQaJAYC&amp;pg=PA293&amp;dq=skalare+quantisierung&amp;hl=de&amp;sa=X&amp;ved=0ahUKEwia4ub83aTKAhUCAHMKHSlDAS8Q6AEIIzAB" TargetMode="External"/><Relationship Id="rId9" Type="http://schemas.openxmlformats.org/officeDocument/2006/relationships/hyperlink" Target="https://books.google.de/books?id=uacnBAAAQBAJ&amp;pg=PA100&amp;lpg=PA100&amp;dq=skalare+quantisierung&amp;source=bl&amp;ots=Pcvxrl9KTj&amp;sig=uJDNW0AYLdGReFlHfixixJFCPRI&amp;hl=de&amp;sa=X&amp;ved=0ahUKEwjg1u64tsXKAhVqwHIKHe2jDTo4ChDoAQgpMAQ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915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Kaden</dc:creator>
  <cp:keywords/>
  <dc:description/>
  <cp:lastModifiedBy>Jan Sutmöller</cp:lastModifiedBy>
  <cp:revision>2</cp:revision>
  <dcterms:created xsi:type="dcterms:W3CDTF">2016-01-26T19:04:00Z</dcterms:created>
  <dcterms:modified xsi:type="dcterms:W3CDTF">2016-01-26T19:04:00Z</dcterms:modified>
</cp:coreProperties>
</file>