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Jan Szczepkowski 193667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SPRAWOZDANIE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ĘP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Wska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źnik MACD został opracowany przez Gerrarda Appela w 1979 roku. Na przestrzeni lat stał się jednym z ważniejszych element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analizy technicznej. Polega on na badaniu zbie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żności średnich kroczących. MACD polega na wyznaczeniu linii sygnału oraz linii MACD. Aby wyznaczyć tą drugą należy obliczyć średnie kroczące kr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ótkookresowe (12 dni) oraz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ługookresowe (26 dni), a następnie je od siebie odjąć. Aby obliczyć linię sygnału należy obliczyć średnią kroczącą o okresie 9 z linii MACD. Nie ma jednego sposobu na obliczanie średniej kroczącej, ja osobiści używałem wzoru: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=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 (1 -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α)p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 (1 - α)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+ ... + (1 - α)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gdzie: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α = 2 / (N + 1)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- liczba okresów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próbka z aktualnego dnia a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bscript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próbka sprzed N dni.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 ten znalaz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na stronie: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https://admiralmarkets.com/pl/education/articles/forex-indicators/wykladnicza-srednia-kroczaca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Momenty kupna oraz sprzeda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 można ocenić por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ównuj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ąc ze sobą wykresy linii sygnału oraz MACD. Jeżeli linia MACD przecina linię sygnału od dołu, zostaje wysłany sygnał o zakupie akcji, jeżeli natomiast przecina od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óry, akcje powinny zosta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sprzedane.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OPRACOWANIE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łowem wstępu: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Zdecydowa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się analizować akcje firmy Apple. Informacje na temat cen akcji pobrałem ze strony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https://stooq.com/q/d/?s=aapl.us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Zadanie polega na przedstawieniu (1) wykresu notowa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ń badanego instrumentu finansowego oraz (2) wykresu MACD+SIGNAL wraz z punktami kupna i sprzedaży.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5648">
          <v:rect xmlns:o="urn:schemas-microsoft-com:office:office" xmlns:v="urn:schemas-microsoft-com:vml" id="rectole0000000000" style="width:421.100000pt;height:28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5669">
          <v:rect xmlns:o="urn:schemas-microsoft-com:office:office" xmlns:v="urn:schemas-microsoft-com:vml" id="rectole0000000001" style="width:421.100000pt;height:283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Zadanie polega na ocenie przydatno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wskaźnika MACD przy decyzjach kupna oraz sprzedaży. Należy przedstawić dwa wykresy.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 ramach tego zadania przygotowa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(3) wykres potencjalnego zysku każdej z transakcji zaproponowanej przez MACD oraz (4) wykres historii stanu konta/wartości posiadanych akcji przez potencjalnego inwestora.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5648">
          <v:rect xmlns:o="urn:schemas-microsoft-com:office:office" xmlns:v="urn:schemas-microsoft-com:vml" id="rectole0000000002" style="width:421.100000pt;height:28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Zysk przy pierwszej transakcji jest tak 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ży, ponieważ początkowy stan konta wynosił 0 a liczba akcji 1000 (inwestor otrzymał akcje w prezencie). Zysk liczyłem według wzoru: Zysk = stan_konta_po_sprzedaży - stan_konta_przed_zakupem. Transakcje kupna/sprzedaży realizowałem na wszystkich dostępnych środkach/akcjach.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Jak wida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ć nie wszystkie decyzje były trafione, jednak większość z nich generowała zysk lub minimalne straty.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(4)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5629">
          <v:rect xmlns:o="urn:schemas-microsoft-com:office:office" xmlns:v="urn:schemas-microsoft-com:vml" id="rectole0000000003" style="width:421.100000pt;height:28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Inwestor na przestrzeni 1000 dni (7.02.2020 - 29.01.2024) znacznie zwi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ększył sw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ój maj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ątek. Zaczynał z akcjami wartymi 78568.4$, a skończył z akcjami wartymi 193140.23$. Daje to zysk w wysokości 114571.83$ albo około 145%.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Warto pami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ętać jednak, że zysk inwestora nie byłby rzeczywistym zyskiem, ponieważ nie uwzględniłem prowizji oraz podatk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Zadanie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Zadanie polega na zaproponowaniu algorytmu, który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ędzie sam podejmował decyzje o kupnie/sprzedaży na podstawie wskaźnika MACD.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Zadanie to zaimplementowa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w poprzednim zadaniu (wykres (4)), jednak aby lepiej zobrazować skuteczność (lub jej brak) wskaźnika MACD por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łem wyniki z wynikami strategii biernego inwestowania.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Ku mojemu zaskoczeniu warto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ść akcji w strategii biernego inwestowania wyniosła 191730.0$ (r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ównie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 nie uwzględniając podatk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 i prowizji). Zatem strategia MACD przynios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ła większy zysk o 1410.23$.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Historię wartości akcji przedstawiłem na wykresie (5).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(5)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22" w:dyaOrig="5629">
          <v:rect xmlns:o="urn:schemas-microsoft-com:office:office" xmlns:v="urn:schemas-microsoft-com:vml" id="rectole0000000004" style="width:421.100000pt;height:28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PODSUMOWANIE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Strategia ze wska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źnikiem MACD okazała się skuteczna, ponieważ zysk był większy niż przy strategii pasywnego inwestowania. Wskaźnik MACD chroni przed większymi stratami, dlatego jest odpowiedni dla inwestor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ów, którzy nie chc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stracić swoich środk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 Nie jest to jednak strategia idealna, co dobrze obrazuje wykres (5). Oko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ło dnia 500 wartość akcji według strategii pasywnego inwestowania była znacznie większa, jednak gwałtowny spadek około dnia 700 sprawił, że końcowa wartość akcji była mniejsza.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LITERATURA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https://pl.wikipedia.org/wiki/MACD</w:t>
        </w:r>
      </w:hyperlink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Instrukcja na eNauczaniu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https://admiralmarkets.com/pl/education/articles/forex-indicators/wykladnicza-srednia-kroczaca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dmiralmarkets.com/pl/education/articles/forex-indicators/wykladnicza-srednia-kroczaca" Id="docRId13" Type="http://schemas.openxmlformats.org/officeDocument/2006/relationships/hyperlink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stooq.com/q/d/?s=aapl.us" Id="docRId1" Type="http://schemas.openxmlformats.org/officeDocument/2006/relationships/hyperlink" /><Relationship Target="media/image4.wmf" Id="docRId11" Type="http://schemas.openxmlformats.org/officeDocument/2006/relationships/image" /><Relationship Target="styles.xml" Id="docRId15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admiralmarkets.com/pl/education/articles/forex-indicators/wykladnicza-srednia-kroczaca" Id="docRId0" Type="http://schemas.openxmlformats.org/officeDocument/2006/relationships/hyperlink" /><Relationship TargetMode="External" Target="https://pl.wikipedia.org/wiki/MACD" Id="docRId1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