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2"/>
            <w:shd w:fill="0F2747"/>
            <w:tcBorders>
              <w:top w:val="nil"/>
              <w:left w:val="nil"/>
              <w:bottom w:val="nil"/>
              <w:right w:val="nil"/>
            </w:tcBorders>
            <w:tcMar>
              <w:top w:w="1100" w:type="dxa"/>
              <w:start w:w="420" w:type="dxa"/>
              <w:bottom w:w="900" w:type="dxa"/>
              <w:end w:w="420" w:type="dxa"/>
            </w:tcMar>
          </w:tcPr>
          <w:p>
            <w:pPr>
              <w:spacing w:after="240"/>
            </w:pPr>
            <w:r>
              <w:rPr>
                <w:rFonts w:ascii="Calibri" w:hAnsi="Calibri" w:eastAsia="Calibri"/>
                <w:b/>
                <w:i w:val="0"/>
                <w:color w:val="7FD6CB"/>
                <w:sz w:val="19"/>
                <w:spacing w:val="60"/>
              </w:rPr>
              <w:t>POLSKA PRESS GRUPA  ·  ANALIZA PPGSCOPE</w:t>
            </w:r>
          </w:p>
          <w:p>
            <w:pPr>
              <w:spacing w:after="20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64"/>
              </w:rPr>
              <w:t>Żywotność portali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64"/>
              </w:rPr>
              <w:t>Polska Press Grupa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C9D6E6"/>
                <w:sz w:val="27"/>
              </w:rPr>
              <w:t>Co naprawdę publikuje sieć 546 portali i co tylko wygląda na aktywne</w:t>
            </w:r>
          </w:p>
        </w:tc>
      </w:tr>
      <w:tr>
        <w:trPr>
          <w:trHeight w:val="140" w:hRule="exact"/>
        </w:trPr>
        <w:tc>
          <w:tcPr>
            <w:tcW w:type="dxa" w:w="9662"/>
            <w:shd w:fill="2A9D8F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280" w:after="40"/>
      </w:pPr>
      <w:r>
        <w:rPr>
          <w:rFonts w:ascii="Calibri" w:hAnsi="Calibri" w:eastAsia="Calibri"/>
          <w:b w:val="0"/>
          <w:i w:val="0"/>
          <w:color w:val="59636E"/>
          <w:sz w:val="21"/>
        </w:rPr>
        <w:t xml:space="preserve">Autor analizy i systemu PPGscope: </w:t>
      </w:r>
      <w:r>
        <w:rPr>
          <w:rFonts w:ascii="Calibri" w:hAnsi="Calibri" w:eastAsia="Calibri"/>
          <w:b/>
          <w:i w:val="0"/>
          <w:color w:val="0F2747"/>
          <w:sz w:val="21"/>
        </w:rPr>
        <w:t>Jan Domaniewski</w:t>
      </w:r>
    </w:p>
    <w:p>
      <w:pPr>
        <w:spacing w:after="680"/>
      </w:pPr>
      <w:r>
        <w:rPr>
          <w:rFonts w:ascii="Calibri" w:hAnsi="Calibri" w:eastAsia="Calibri"/>
          <w:b w:val="0"/>
          <w:i w:val="0"/>
          <w:color w:val="59636E"/>
          <w:sz w:val="18"/>
        </w:rPr>
        <w:t>Stan snapshotu 18 października 2026  ·  audyt żywotności v2.1.0  ·  546 portali w rejestrze, 547 rekordów w audycie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3"/>
        <w:gridCol w:w="1933"/>
        <w:gridCol w:w="1933"/>
        <w:gridCol w:w="1933"/>
        <w:gridCol w:w="1933"/>
      </w:tblGrid>
      <w:tr>
        <w:tc>
          <w:tcPr>
            <w:tcW w:type="dxa" w:w="1932"/>
            <w:shd w:fill="F5F7FA"/>
            <w:tcBorders>
              <w:top w:val="single" w:sz="36" w:space="0" w:color="2A9D8F"/>
              <w:left w:val="single" w:sz="24" w:space="0" w:color="FFFFFF"/>
              <w:bottom w:val="nil"/>
              <w:right w:val="single" w:sz="24" w:space="0" w:color="FFFFFF"/>
            </w:tcBorders>
            <w:tcMar>
              <w:top w:w="200" w:type="dxa"/>
              <w:start w:w="140" w:type="dxa"/>
              <w:bottom w:w="18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A9D8F"/>
                <w:sz w:val="60"/>
              </w:rPr>
              <w:t>202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/>
                <w:i w:val="0"/>
                <w:color w:val="1B2430"/>
                <w:sz w:val="20"/>
              </w:rPr>
              <w:t>żywe redakcyjnie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59636E"/>
                <w:sz w:val="17"/>
              </w:rPr>
              <w:t>36,9% audytu</w:t>
            </w:r>
          </w:p>
        </w:tc>
        <w:tc>
          <w:tcPr>
            <w:tcW w:type="dxa" w:w="1932"/>
            <w:shd w:fill="F5F7FA"/>
            <w:tcBorders>
              <w:top w:val="single" w:sz="36" w:space="0" w:color="2F6B9A"/>
              <w:left w:val="single" w:sz="24" w:space="0" w:color="FFFFFF"/>
              <w:bottom w:val="nil"/>
              <w:right w:val="single" w:sz="24" w:space="0" w:color="FFFFFF"/>
            </w:tcBorders>
            <w:tcMar>
              <w:top w:w="200" w:type="dxa"/>
              <w:start w:w="140" w:type="dxa"/>
              <w:bottom w:w="18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F6B9A"/>
                <w:sz w:val="60"/>
              </w:rPr>
              <w:t>222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/>
                <w:i w:val="0"/>
                <w:color w:val="1B2430"/>
                <w:sz w:val="20"/>
              </w:rPr>
              <w:t>syndykatowe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59636E"/>
                <w:sz w:val="17"/>
              </w:rPr>
              <w:t>40,6% audytu</w:t>
            </w:r>
          </w:p>
        </w:tc>
        <w:tc>
          <w:tcPr>
            <w:tcW w:type="dxa" w:w="1932"/>
            <w:shd w:fill="F5F7FA"/>
            <w:tcBorders>
              <w:top w:val="single" w:sz="36" w:space="0" w:color="E9B44C"/>
              <w:left w:val="single" w:sz="24" w:space="0" w:color="FFFFFF"/>
              <w:bottom w:val="nil"/>
              <w:right w:val="single" w:sz="24" w:space="0" w:color="FFFFFF"/>
            </w:tcBorders>
            <w:tcMar>
              <w:top w:w="200" w:type="dxa"/>
              <w:start w:w="140" w:type="dxa"/>
              <w:bottom w:w="18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E9B44C"/>
                <w:sz w:val="60"/>
              </w:rPr>
              <w:t>61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/>
                <w:i w:val="0"/>
                <w:color w:val="1B2430"/>
                <w:sz w:val="20"/>
              </w:rPr>
              <w:t>ledwo żywe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59636E"/>
                <w:sz w:val="17"/>
              </w:rPr>
              <w:t>11,2% audytu</w:t>
            </w:r>
          </w:p>
        </w:tc>
        <w:tc>
          <w:tcPr>
            <w:tcW w:type="dxa" w:w="1932"/>
            <w:shd w:fill="F5F7FA"/>
            <w:tcBorders>
              <w:top w:val="single" w:sz="36" w:space="0" w:color="7B61A8"/>
              <w:left w:val="single" w:sz="24" w:space="0" w:color="FFFFFF"/>
              <w:bottom w:val="nil"/>
              <w:right w:val="single" w:sz="24" w:space="0" w:color="FFFFFF"/>
            </w:tcBorders>
            <w:tcMar>
              <w:top w:w="200" w:type="dxa"/>
              <w:start w:w="140" w:type="dxa"/>
              <w:bottom w:w="18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7B61A8"/>
                <w:sz w:val="60"/>
              </w:rPr>
              <w:t>47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/>
                <w:i w:val="0"/>
                <w:color w:val="1B2430"/>
                <w:sz w:val="20"/>
              </w:rPr>
              <w:t>zombie automaty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59636E"/>
                <w:sz w:val="17"/>
              </w:rPr>
              <w:t>8,6% audytu</w:t>
            </w:r>
          </w:p>
        </w:tc>
        <w:tc>
          <w:tcPr>
            <w:tcW w:type="dxa" w:w="1932"/>
            <w:shd w:fill="F5F7FA"/>
            <w:tcBorders>
              <w:top w:val="single" w:sz="36" w:space="0" w:color="E76F51"/>
              <w:left w:val="single" w:sz="24" w:space="0" w:color="FFFFFF"/>
              <w:bottom w:val="nil"/>
              <w:right w:val="single" w:sz="24" w:space="0" w:color="FFFFFF"/>
            </w:tcBorders>
            <w:tcMar>
              <w:top w:w="200" w:type="dxa"/>
              <w:start w:w="140" w:type="dxa"/>
              <w:bottom w:w="18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E76F51"/>
                <w:sz w:val="60"/>
              </w:rPr>
              <w:t>15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/>
                <w:i w:val="0"/>
                <w:color w:val="1B2430"/>
                <w:sz w:val="20"/>
              </w:rPr>
              <w:t>martwe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59636E"/>
                <w:sz w:val="17"/>
              </w:rPr>
              <w:t>2,7% audytu</w:t>
            </w:r>
          </w:p>
        </w:tc>
      </w:tr>
    </w:tbl>
    <w:p>
      <w:pPr>
        <w:spacing w:after="40"/>
      </w:pP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63"/>
      </w:tblGrid>
      <w:tr>
        <w:trPr>
          <w:cantSplit/>
        </w:trPr>
        <w:tc>
          <w:tcPr>
            <w:tcW w:type="dxa" w:w="9662"/>
            <w:shd w:fill="E8F4F2"/>
            <w:tcBorders>
              <w:top w:val="nil"/>
              <w:left w:val="single" w:sz="36" w:space="0" w:color="2A9D8F"/>
              <w:bottom w:val="nil"/>
              <w:right w:val="nil"/>
            </w:tcBorders>
            <w:tcMar>
              <w:top w:w="160" w:type="dxa"/>
              <w:start w:w="240" w:type="dxa"/>
              <w:bottom w:w="160" w:type="dxa"/>
              <w:end w:w="22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1B7A6F"/>
                <w:sz w:val="21"/>
              </w:rPr>
              <w:t>Najkrótszy wniosek</w:t>
            </w:r>
          </w:p>
          <w:p>
            <w:pPr>
              <w:spacing w:after="0" w:line="271" w:lineRule="auto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20"/>
              </w:rPr>
              <w:t>Analiza PPGscope pokazuje sieć portali Polska Press Grupa, która jest duża i technicznie ruchliwa, ale znacznie mniejsza po odjęciu syndykacji i automatyzacji. Tylko 202 z 547 rekordów spełnia jednocześnie kryteria wysokiej unikalności, własnej produkcji i obecności podpisanych dziennikarzy. 222 kolejnych portali regularnie publikuje, lecz ich strumień jest zdominowany przez wspólne treści. Wąski ogon 61 portali ledwo podtrzymuje aktywność, a 15 nie publikuje wcale.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0"/>
        <w:keepNext/>
      </w:pPr>
      <w:r>
        <w:rPr>
          <w:rFonts w:ascii="Calibri" w:hAnsi="Calibri" w:eastAsia="Calibri"/>
          <w:b/>
          <w:i w:val="0"/>
          <w:color w:val="2A9D8F"/>
          <w:sz w:val="17"/>
          <w:spacing w:val="40"/>
        </w:rPr>
        <w:t>01  ·  PODSUMOWANIE</w:t>
      </w:r>
    </w:p>
    <w:p>
      <w:pPr>
        <w:pStyle w:val="Heading1"/>
        <w:spacing w:before="40" w:after="140"/>
        <w:keepNext/>
        <w:pBdr>
          <w:bottom w:val="single" w:sz="12" w:space="6" w:color="2A9D8F"/>
        </w:pBdr>
      </w:pPr>
      <w:r>
        <w:rPr>
          <w:rFonts w:ascii="Calibri" w:hAnsi="Calibri" w:eastAsia="Calibri"/>
          <w:b/>
          <w:i w:val="0"/>
          <w:color w:val="0F2747"/>
          <w:sz w:val="40"/>
        </w:rPr>
        <w:t>Wniosek zarządczy</w:t>
      </w:r>
    </w:p>
    <w:p>
      <w:pPr>
        <w:pStyle w:val="BodyText"/>
        <w:spacing w:after="120" w:line="271" w:lineRule="auto"/>
      </w:pPr>
      <w:r>
        <w:rPr>
          <w:rFonts w:ascii="Calibri" w:hAnsi="Calibri" w:eastAsia="Calibri"/>
          <w:b w:val="0"/>
          <w:i w:val="0"/>
          <w:color w:val="1B2430"/>
          <w:sz w:val="21"/>
        </w:rPr>
        <w:t>Jeżeli przez żywy portal rozumiemy miejsce, w którym widać własną, regularną pracę redakcyjną, sieć ma około 36,9% takich punktów. Jeżeli wystarczy, że portal publikuje cokolwiek, wynik rośnie do 86,1%. Ta różnica wynosząca 49,2% całej sieci opisuje sedno zjawiska: część skali jest tworzona przez dystrybucję wspólnego materiału albo przez mechaniczny rytm CMS, a nie przez równoległe lokalne newsroomy.</w:t>
      </w:r>
    </w:p>
    <w:p>
      <w:pPr>
        <w:pStyle w:val="BodyText"/>
        <w:spacing w:after="120" w:line="271" w:lineRule="auto"/>
      </w:pPr>
      <w:r>
        <w:rPr>
          <w:rFonts w:ascii="Calibri" w:hAnsi="Calibri" w:eastAsia="Calibri"/>
          <w:b w:val="0"/>
          <w:i w:val="0"/>
          <w:color w:val="1B2430"/>
          <w:sz w:val="21"/>
        </w:rPr>
        <w:t>W audycie sieć emituje 9 794 materiałów na dobę, z czego 4 043 zostało zaklasyfikowanych jako unikalne po deduplikacji MinHash. To 41,3% w ujęciu ważonym. Średnia unikalność raportowana w panelu wynosi 31,8%, ponieważ jest średnią prostą po portalach; nie należy jej mieszać z udziałem unikalnych materiałów w całym wolumenie.</w:t>
      </w:r>
    </w:p>
    <w:p>
      <w:pPr>
        <w:pStyle w:val="ListBullet"/>
        <w:spacing w:after="60"/>
        <w:ind w:left="317"/>
      </w:pPr>
      <w:r>
        <w:rPr>
          <w:rFonts w:ascii="Calibri" w:hAnsi="Calibri" w:eastAsia="Calibri"/>
          <w:b w:val="0"/>
          <w:i w:val="0"/>
          <w:color w:val="1B2430"/>
          <w:sz w:val="21"/>
        </w:rPr>
        <w:t>Największa grupa to portale czynne syndykatowo: 222 rekordy i 3 199 materiałów na dobę, ale tylko 688 unikalnych.</w:t>
      </w:r>
    </w:p>
    <w:p>
      <w:pPr>
        <w:pStyle w:val="ListBullet"/>
        <w:spacing w:after="60"/>
        <w:ind w:left="317"/>
      </w:pPr>
      <w:r>
        <w:rPr>
          <w:rFonts w:ascii="Calibri" w:hAnsi="Calibri" w:eastAsia="Calibri"/>
          <w:b w:val="0"/>
          <w:i w:val="0"/>
          <w:color w:val="1B2430"/>
          <w:sz w:val="21"/>
        </w:rPr>
        <w:t>Grupa ledwo żywa publikuje 148 materiałów na dobę. 31 z 61 portali nie ma w próbce ani jednego materiału unikalnego.</w:t>
      </w:r>
    </w:p>
    <w:p>
      <w:pPr>
        <w:pStyle w:val="ListBullet"/>
        <w:spacing w:after="60"/>
        <w:ind w:left="317"/>
      </w:pPr>
      <w:r>
        <w:rPr>
          <w:rFonts w:ascii="Calibri" w:hAnsi="Calibri" w:eastAsia="Calibri"/>
          <w:b w:val="0"/>
          <w:i w:val="0"/>
          <w:color w:val="1B2430"/>
          <w:sz w:val="21"/>
        </w:rPr>
        <w:t>Portale zombie mają większy wolumen niż ledwo żywe, lecz tylko 5,1% ich materiałów jest unikalnych, a w audycie nie ma w nich ani jednego podpisanego autora.</w:t>
      </w:r>
    </w:p>
    <w:p>
      <w:pPr>
        <w:pStyle w:val="ListBullet"/>
        <w:spacing w:after="60"/>
        <w:ind w:left="317"/>
      </w:pPr>
      <w:r>
        <w:rPr>
          <w:rFonts w:ascii="Calibri" w:hAnsi="Calibri" w:eastAsia="Calibri"/>
          <w:b w:val="0"/>
          <w:i w:val="0"/>
          <w:color w:val="1B2430"/>
          <w:sz w:val="21"/>
        </w:rPr>
        <w:t>Sieć jest silnie skupiona na lokalnych serwisach Nasze Miasto: 509 z 547 rekordów audytu.</w:t>
      </w:r>
    </w:p>
    <w:p>
      <w:pPr>
        <w:pStyle w:val="Heading2"/>
        <w:spacing w:before="200" w:after="80"/>
        <w:keepNext/>
      </w:pPr>
      <w:r>
        <w:rPr>
          <w:rFonts w:ascii="Calibri" w:hAnsi="Calibri" w:eastAsia="Calibri"/>
          <w:b/>
          <w:i w:val="0"/>
          <w:color w:val="1B7A6F"/>
          <w:sz w:val="25"/>
        </w:rPr>
        <w:t>Jak czytać kategorie</w:t>
      </w:r>
    </w:p>
    <w:p>
      <w:pPr>
        <w:pStyle w:val="BodyText"/>
        <w:spacing w:after="120" w:line="271" w:lineRule="auto"/>
      </w:pPr>
      <w:r>
        <w:rPr>
          <w:rFonts w:ascii="Calibri" w:hAnsi="Calibri" w:eastAsia="Calibri"/>
          <w:b w:val="0"/>
          <w:i w:val="0"/>
          <w:color w:val="1B2430"/>
          <w:sz w:val="21"/>
        </w:rPr>
        <w:t>Kategorie nie są oceną jakości tekstów ani dowodem na istnienie lub brak konkretnej redakcji. Są sygnałami z audytu technicznego i treściowego: liczba publikacji, podobieństwo materiałów, udział wpisów o regularnych minutach, obecność podpisanych autorów oraz czas od ostatniej publikacji. W szczególności wysoka syndykacja opisuje sposób dystrybucji, a nie rozstrzyga, gdzie powstał każdy tekst.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1080"/>
        <w:gridCol w:w="1080"/>
        <w:gridCol w:w="6264"/>
      </w:tblGrid>
      <w:tr>
        <w:trPr>
          <w:tblHeader w:val="true"/>
          <w:cantSplit/>
        </w:trPr>
        <w:tc>
          <w:tcPr>
            <w:tcW w:type="dxa" w:w="2045"/>
            <w:shd w:fill="0F2747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Kategoria</w:t>
            </w:r>
          </w:p>
        </w:tc>
        <w:tc>
          <w:tcPr>
            <w:tcW w:type="dxa" w:w="1080"/>
            <w:shd w:fill="0F2747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Liczba</w:t>
            </w:r>
          </w:p>
        </w:tc>
        <w:tc>
          <w:tcPr>
            <w:tcW w:type="dxa" w:w="1080"/>
            <w:shd w:fill="0F2747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Udział</w:t>
            </w:r>
          </w:p>
        </w:tc>
        <w:tc>
          <w:tcPr>
            <w:tcW w:type="dxa" w:w="6264"/>
            <w:shd w:fill="0F2747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Jak ją rozumieć</w:t>
            </w:r>
          </w:p>
        </w:tc>
      </w:tr>
      <w:tr>
        <w:trPr>
          <w:cantSplit/>
        </w:trPr>
        <w:tc>
          <w:tcPr>
            <w:tcW w:type="dxa" w:w="2045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Czynny i unikalny</w:t>
            </w:r>
          </w:p>
        </w:tc>
        <w:tc>
          <w:tcPr>
            <w:tcW w:type="dxa" w:w="108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202</w:t>
            </w:r>
          </w:p>
        </w:tc>
        <w:tc>
          <w:tcPr>
            <w:tcW w:type="dxa" w:w="108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36,9%</w:t>
            </w:r>
          </w:p>
        </w:tc>
        <w:tc>
          <w:tcPr>
            <w:tcW w:type="dxa" w:w="6264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&gt;= 42% unikalnych tekstów, &gt;= 5 własnych materiałów/dobę, min. 2 podpisanych dziennikarzy</w:t>
            </w:r>
          </w:p>
        </w:tc>
      </w:tr>
      <w:tr>
        <w:trPr>
          <w:cantSplit/>
        </w:trPr>
        <w:tc>
          <w:tcPr>
            <w:tcW w:type="dxa" w:w="2045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Czynny syndykatowy</w:t>
            </w:r>
          </w:p>
        </w:tc>
        <w:tc>
          <w:tcPr>
            <w:tcW w:type="dxa" w:w="108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222</w:t>
            </w:r>
          </w:p>
        </w:tc>
        <w:tc>
          <w:tcPr>
            <w:tcW w:type="dxa" w:w="108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40,6%</w:t>
            </w:r>
          </w:p>
        </w:tc>
        <w:tc>
          <w:tcPr>
            <w:tcW w:type="dxa" w:w="6264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Regularna publikacja (10-18 art./dobę), ale &gt; 65% to teksty wspólne z centrali i sąsiednich miast</w:t>
            </w:r>
          </w:p>
        </w:tc>
      </w:tr>
      <w:tr>
        <w:trPr>
          <w:cantSplit/>
        </w:trPr>
        <w:tc>
          <w:tcPr>
            <w:tcW w:type="dxa" w:w="2045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Ledwo żywy</w:t>
            </w:r>
          </w:p>
        </w:tc>
        <w:tc>
          <w:tcPr>
            <w:tcW w:type="dxa" w:w="108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61</w:t>
            </w:r>
          </w:p>
        </w:tc>
        <w:tc>
          <w:tcPr>
            <w:tcW w:type="dxa" w:w="108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11,2%</w:t>
            </w:r>
          </w:p>
        </w:tc>
        <w:tc>
          <w:tcPr>
            <w:tcW w:type="dxa" w:w="6264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1-4 art./dobę lub luki publikacyjne &gt; 14h, maksymalnie 1 unikalny tekst dziennie</w:t>
            </w:r>
          </w:p>
        </w:tc>
      </w:tr>
      <w:tr>
        <w:trPr>
          <w:cantSplit/>
        </w:trPr>
        <w:tc>
          <w:tcPr>
            <w:tcW w:type="dxa" w:w="2045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Zombie automat</w:t>
            </w:r>
          </w:p>
        </w:tc>
        <w:tc>
          <w:tcPr>
            <w:tcW w:type="dxa" w:w="108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47</w:t>
            </w:r>
          </w:p>
        </w:tc>
        <w:tc>
          <w:tcPr>
            <w:tcW w:type="dxa" w:w="108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8,6%</w:t>
            </w:r>
          </w:p>
        </w:tc>
        <w:tc>
          <w:tcPr>
            <w:tcW w:type="dxa" w:w="6264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0 własnych dziennikarzy, &gt; 60% wrzutek o pełnej minucie (:00/:15), alerty pogodowe i horoskopy</w:t>
            </w:r>
          </w:p>
        </w:tc>
      </w:tr>
      <w:tr>
        <w:trPr>
          <w:cantSplit/>
        </w:trPr>
        <w:tc>
          <w:tcPr>
            <w:tcW w:type="dxa" w:w="2045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Martwy</w:t>
            </w:r>
          </w:p>
        </w:tc>
        <w:tc>
          <w:tcPr>
            <w:tcW w:type="dxa" w:w="108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15</w:t>
            </w:r>
          </w:p>
        </w:tc>
        <w:tc>
          <w:tcPr>
            <w:tcW w:type="dxa" w:w="108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2,7%</w:t>
            </w:r>
          </w:p>
        </w:tc>
        <w:tc>
          <w:tcPr>
            <w:tcW w:type="dxa" w:w="6264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Brak publikacji &gt; 72h lub kod HTTP 410/404 (np. wygaszona domena polskatimes.pl)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0"/>
        <w:keepNext/>
      </w:pPr>
      <w:r>
        <w:rPr>
          <w:rFonts w:ascii="Calibri" w:hAnsi="Calibri" w:eastAsia="Calibri"/>
          <w:b/>
          <w:i w:val="0"/>
          <w:color w:val="2A9D8F"/>
          <w:sz w:val="17"/>
          <w:spacing w:val="40"/>
        </w:rPr>
        <w:t>02  ·  SKALA</w:t>
      </w:r>
    </w:p>
    <w:p>
      <w:pPr>
        <w:pStyle w:val="Heading1"/>
        <w:spacing w:before="40" w:after="140"/>
        <w:keepNext/>
        <w:pBdr>
          <w:bottom w:val="single" w:sz="12" w:space="6" w:color="2A9D8F"/>
        </w:pBdr>
      </w:pPr>
      <w:r>
        <w:rPr>
          <w:rFonts w:ascii="Calibri" w:hAnsi="Calibri" w:eastAsia="Calibri"/>
          <w:b/>
          <w:i w:val="0"/>
          <w:color w:val="0F2747"/>
          <w:sz w:val="40"/>
        </w:rPr>
        <w:t>Sieć jest aktywna głównie na papierze</w:t>
      </w:r>
    </w:p>
    <w:p>
      <w:pPr>
        <w:pStyle w:val="BodyText"/>
        <w:spacing w:after="120" w:line="271" w:lineRule="auto"/>
      </w:pPr>
      <w:r>
        <w:rPr>
          <w:rFonts w:ascii="Calibri" w:hAnsi="Calibri" w:eastAsia="Calibri"/>
          <w:b w:val="0"/>
          <w:i w:val="0"/>
          <w:color w:val="1B2430"/>
          <w:sz w:val="21"/>
        </w:rPr>
        <w:t>Rozkład statusów tworzy trzy warstwy. Pierwsza to 202 portali, które łączą regularny rytm publikacji z relatywnie wysoką unikalnością i podpisanym autorstwem. Druga to 222 portali, które są widoczne i często publikują, lecz działają przede wszystkim jako końcówki wspólnego strumienia. Trzecia obejmuje 61 portali ledwo żywych, 47 automatów i 15 rekordów martwych. Razem to 123 rekordów, czyli 22,5% audytu.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_break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 w:val="0"/>
          <w:i/>
          <w:color w:val="59636E"/>
          <w:sz w:val="17"/>
        </w:rPr>
        <w:t>Rysunek 1. Statusy żywotności według audytu PPGscope. Udziały liczone względem 547 rekordów audytu.</w:t>
      </w:r>
    </w:p>
    <w:p>
      <w:pPr>
        <w:pStyle w:val="BodyText"/>
        <w:spacing w:after="120" w:line="271" w:lineRule="auto"/>
      </w:pPr>
      <w:r>
        <w:rPr>
          <w:rFonts w:ascii="Calibri" w:hAnsi="Calibri" w:eastAsia="Calibri"/>
          <w:b w:val="0"/>
          <w:i w:val="0"/>
          <w:color w:val="1B2430"/>
          <w:sz w:val="21"/>
        </w:rPr>
        <w:t>Najważniejszy kontrast widać między liczbą portali a ich wkładem redakcyjnym. Grupa czynna i unikalna stanowi 36,9% rekordów, ale generuje 61,8% całego wolumenu i 81,7% materiałów unikalnych. Z kolei syndykat stanowi 40,6% rekordów i dostarcza 32,7% wolumenu, lecz tylko 17,0% unikalnej produkcji.</w:t>
      </w:r>
    </w:p>
    <w:p>
      <w:r>
        <w:drawing>
          <wp:inline xmlns:a="http://schemas.openxmlformats.org/drawingml/2006/main" xmlns:pic="http://schemas.openxmlformats.org/drawingml/2006/picture">
            <wp:extent cx="5303520" cy="30495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uniq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 w:val="0"/>
          <w:i/>
          <w:color w:val="59636E"/>
          <w:sz w:val="17"/>
        </w:rPr>
        <w:t>Rysunek 2. Wolumen dobowy według statusu. Zielony segment pokazuje materiały unikalne w audycie, szary wspólne lub powielone.</w:t>
      </w:r>
    </w:p>
    <w:p>
      <w:pPr>
        <w:pStyle w:val="BodyText"/>
        <w:spacing w:after="120" w:line="271" w:lineRule="auto"/>
      </w:pPr>
      <w:r>
        <w:rPr>
          <w:rFonts w:ascii="Calibri" w:hAnsi="Calibri" w:eastAsia="Calibri"/>
          <w:b w:val="0"/>
          <w:i w:val="0"/>
          <w:color w:val="1B2430"/>
          <w:sz w:val="21"/>
        </w:rPr>
        <w:t>To dlatego sama liczba publikacji może prowadzić do błędnego wniosku o kondycji sieci. Portal z dziesięcioma wpisami dziennie może wyglądać zdrowiej niż portal z trzema, ale oba mogą mieć zbliżony poziom własnej pracy. W danych PPGscope ważniejsze od samego tempa jest to, ile z tego tempa zostaje po deduplikacji i czy za publikacją widać autorstwo.</w:t>
      </w:r>
    </w:p>
    <w:p>
      <w:pPr>
        <w:spacing w:before="320" w:after="0"/>
        <w:keepNext/>
      </w:pPr>
      <w:r>
        <w:rPr>
          <w:rFonts w:ascii="Calibri" w:hAnsi="Calibri" w:eastAsia="Calibri"/>
          <w:b/>
          <w:i w:val="0"/>
          <w:color w:val="2A9D8F"/>
          <w:sz w:val="17"/>
          <w:spacing w:val="40"/>
        </w:rPr>
        <w:t>03  ·  OGON SIECI</w:t>
      </w:r>
    </w:p>
    <w:p>
      <w:pPr>
        <w:pStyle w:val="Heading1"/>
        <w:spacing w:before="40" w:after="140"/>
        <w:keepNext/>
        <w:pBdr>
          <w:bottom w:val="single" w:sz="12" w:space="6" w:color="2A9D8F"/>
        </w:pBdr>
      </w:pPr>
      <w:r>
        <w:rPr>
          <w:rFonts w:ascii="Calibri" w:hAnsi="Calibri" w:eastAsia="Calibri"/>
          <w:b/>
          <w:i w:val="0"/>
          <w:color w:val="0F2747"/>
          <w:sz w:val="40"/>
        </w:rPr>
        <w:t>Ledwo żywe portale są długim ogonem sieci</w:t>
      </w:r>
    </w:p>
    <w:p>
      <w:pPr>
        <w:pStyle w:val="BodyText"/>
        <w:spacing w:after="120" w:line="271" w:lineRule="auto"/>
      </w:pPr>
      <w:r>
        <w:rPr>
          <w:rFonts w:ascii="Calibri" w:hAnsi="Calibri" w:eastAsia="Calibri"/>
          <w:b w:val="0"/>
          <w:i w:val="0"/>
          <w:color w:val="1B2430"/>
          <w:sz w:val="21"/>
        </w:rPr>
        <w:t>W grupie 61 portali ledwo żywych mediana wynosi 2 materiały dziennie, a średnia 2,43. W całej grupie daje to 148 publikacji na dobę, lecz tylko 30 unikalnych. Mediana przerwy od ostatniej publikacji to 26,4 godziny, a średnia liczba podpisanych autorów wynosi 0,51 na portal. To obraz serwisów, które formalnie jeszcze nadają, lecz robią to rzadko i bez stabilnej własnej produkcji.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ely_al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 w:val="0"/>
          <w:i/>
          <w:color w:val="59636E"/>
          <w:sz w:val="17"/>
        </w:rPr>
        <w:t>Rysunek 3. Rozkład liczby materiałów na dobę w grupie ledwo żywych portali.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1440"/>
        <w:gridCol w:w="4680"/>
      </w:tblGrid>
      <w:tr>
        <w:trPr>
          <w:tblHeader w:val="true"/>
          <w:cantSplit/>
        </w:trPr>
        <w:tc>
          <w:tcPr>
            <w:tcW w:type="dxa" w:w="2232"/>
            <w:shd w:fill="0F2747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Wskaźnik</w:t>
            </w:r>
          </w:p>
        </w:tc>
        <w:tc>
          <w:tcPr>
            <w:tcW w:type="dxa" w:w="1440"/>
            <w:shd w:fill="0F2747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Wynik</w:t>
            </w:r>
          </w:p>
        </w:tc>
        <w:tc>
          <w:tcPr>
            <w:tcW w:type="dxa" w:w="1440"/>
            <w:shd w:fill="0F2747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Udział</w:t>
            </w:r>
          </w:p>
        </w:tc>
        <w:tc>
          <w:tcPr>
            <w:tcW w:type="dxa" w:w="4680"/>
            <w:shd w:fill="0F2747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 z tego wynika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Portale w grupie</w:t>
            </w:r>
          </w:p>
        </w:tc>
        <w:tc>
          <w:tcPr>
            <w:tcW w:type="dxa" w:w="144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61</w:t>
            </w:r>
          </w:p>
        </w:tc>
        <w:tc>
          <w:tcPr>
            <w:tcW w:type="dxa" w:w="144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11,2% audytu</w:t>
            </w:r>
          </w:p>
        </w:tc>
        <w:tc>
          <w:tcPr>
            <w:tcW w:type="dxa" w:w="468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To osobna, wyraźna warstwa, a nie pojedyncze anomalie.</w:t>
            </w:r>
          </w:p>
        </w:tc>
      </w:tr>
      <w:tr>
        <w:trPr>
          <w:cantSplit/>
        </w:trPr>
        <w:tc>
          <w:tcPr>
            <w:tcW w:type="dxa" w:w="2232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Publikacje na dobę</w:t>
            </w:r>
          </w:p>
        </w:tc>
        <w:tc>
          <w:tcPr>
            <w:tcW w:type="dxa" w:w="144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148</w:t>
            </w:r>
          </w:p>
        </w:tc>
        <w:tc>
          <w:tcPr>
            <w:tcW w:type="dxa" w:w="144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1,5% całej sieci</w:t>
            </w:r>
          </w:p>
        </w:tc>
        <w:tc>
          <w:tcPr>
            <w:tcW w:type="dxa" w:w="468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Skala jest mała mimo 61 adresów.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Materiały unikalne</w:t>
            </w:r>
          </w:p>
        </w:tc>
        <w:tc>
          <w:tcPr>
            <w:tcW w:type="dxa" w:w="144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30</w:t>
            </w:r>
          </w:p>
        </w:tc>
        <w:tc>
          <w:tcPr>
            <w:tcW w:type="dxa" w:w="144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20,3% grupy</w:t>
            </w:r>
          </w:p>
        </w:tc>
        <w:tc>
          <w:tcPr>
            <w:tcW w:type="dxa" w:w="468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Własna produkcja jest śladowa.</w:t>
            </w:r>
          </w:p>
        </w:tc>
      </w:tr>
      <w:tr>
        <w:trPr>
          <w:cantSplit/>
        </w:trPr>
        <w:tc>
          <w:tcPr>
            <w:tcW w:type="dxa" w:w="2232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Bez unikalnego materiału</w:t>
            </w:r>
          </w:p>
        </w:tc>
        <w:tc>
          <w:tcPr>
            <w:tcW w:type="dxa" w:w="144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31</w:t>
            </w:r>
          </w:p>
        </w:tc>
        <w:tc>
          <w:tcPr>
            <w:tcW w:type="dxa" w:w="144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50,8% grupy</w:t>
            </w:r>
          </w:p>
        </w:tc>
        <w:tc>
          <w:tcPr>
            <w:tcW w:type="dxa" w:w="468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Dla większości aktywność nie oznacza lokalnego tekstu.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Mediana przerwy</w:t>
            </w:r>
          </w:p>
        </w:tc>
        <w:tc>
          <w:tcPr>
            <w:tcW w:type="dxa" w:w="144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26,4 h</w:t>
            </w:r>
          </w:p>
        </w:tc>
        <w:tc>
          <w:tcPr>
            <w:tcW w:type="dxa" w:w="144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od ostatniej publikacji</w:t>
            </w:r>
          </w:p>
        </w:tc>
        <w:tc>
          <w:tcPr>
            <w:tcW w:type="dxa" w:w="468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Rytm jest nieregularny i często przekracza dobę.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63"/>
      </w:tblGrid>
      <w:tr>
        <w:trPr>
          <w:cantSplit/>
        </w:trPr>
        <w:tc>
          <w:tcPr>
            <w:tcW w:type="dxa" w:w="9662"/>
            <w:shd w:fill="FBF3E0"/>
            <w:tcBorders>
              <w:top w:val="nil"/>
              <w:left w:val="single" w:sz="36" w:space="0" w:color="E9B44C"/>
              <w:bottom w:val="nil"/>
              <w:right w:val="nil"/>
            </w:tcBorders>
            <w:tcMar>
              <w:top w:w="160" w:type="dxa"/>
              <w:start w:w="240" w:type="dxa"/>
              <w:bottom w:w="160" w:type="dxa"/>
              <w:end w:w="22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8A5A00"/>
                <w:sz w:val="21"/>
              </w:rPr>
              <w:t>Jak to czytać</w:t>
            </w:r>
          </w:p>
          <w:p>
            <w:pPr>
              <w:spacing w:after="0" w:line="271" w:lineRule="auto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20"/>
              </w:rPr>
              <w:t>Najbezpieczniejsza interpretacja brzmi więc: to portale podtrzymywane przy życiu, niekoniecznie portale z działającym newsroomem. PPGscope nie pozwala na podstawie tego snapshotu powiedzieć, czy konkretny adres jest przeznaczony do zamknięcia, przekierowania albo odbudowy. Pozwala za to wskazać grupę do ręcznego przeglądu i odróżnić ją od sieci regularnie produkującej lokalne materiały.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0"/>
        <w:keepNext/>
      </w:pPr>
      <w:r>
        <w:rPr>
          <w:rFonts w:ascii="Calibri" w:hAnsi="Calibri" w:eastAsia="Calibri"/>
          <w:b/>
          <w:i w:val="0"/>
          <w:color w:val="2A9D8F"/>
          <w:sz w:val="17"/>
          <w:spacing w:val="40"/>
        </w:rPr>
        <w:t>04  ·  REGIONY</w:t>
      </w:r>
    </w:p>
    <w:p>
      <w:pPr>
        <w:pStyle w:val="Heading1"/>
        <w:spacing w:before="40" w:after="140"/>
        <w:keepNext/>
        <w:pBdr>
          <w:bottom w:val="single" w:sz="12" w:space="6" w:color="2A9D8F"/>
        </w:pBdr>
      </w:pPr>
      <w:r>
        <w:rPr>
          <w:rFonts w:ascii="Calibri" w:hAnsi="Calibri" w:eastAsia="Calibri"/>
          <w:b/>
          <w:i w:val="0"/>
          <w:color w:val="0F2747"/>
          <w:sz w:val="40"/>
        </w:rPr>
        <w:t>Rozkład regionalny nie jest równy</w:t>
      </w:r>
    </w:p>
    <w:p>
      <w:pPr>
        <w:pStyle w:val="BodyText"/>
        <w:spacing w:after="120" w:line="271" w:lineRule="auto"/>
      </w:pPr>
      <w:r>
        <w:rPr>
          <w:rFonts w:ascii="Calibri" w:hAnsi="Calibri" w:eastAsia="Calibri"/>
          <w:b w:val="0"/>
          <w:i w:val="0"/>
          <w:color w:val="1B2430"/>
          <w:sz w:val="21"/>
        </w:rPr>
        <w:t>Różnice między regionami są duże, ale należy je czytać razem z liczebnością próby. Najwyższy udział portali czynnych i unikalnych ma kategoria Ogólnopolski, jednak obejmuje tylko 17 rekordów. Wśród województw wyróżniają się Zachodniopomorskie i Pomorskie. Na drugim końcu znajdują się Opolskie, Warmińsko-Mazurskie i Mazowieckie, gdzie udział portali rzeczywiście żywych jest wyraźnie niższy.</w:t>
      </w:r>
    </w:p>
    <w:p>
      <w:r>
        <w:drawing>
          <wp:inline xmlns:a="http://schemas.openxmlformats.org/drawingml/2006/main" xmlns:pic="http://schemas.openxmlformats.org/drawingml/2006/picture">
            <wp:extent cx="5303520" cy="43157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al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15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 w:val="0"/>
          <w:i/>
          <w:color w:val="59636E"/>
          <w:sz w:val="17"/>
        </w:rPr>
        <w:t>Rysunek 4. Udział portali czynnych i unikalnych oraz słabych lub martwych. Pominięto etykietę „Ogólnopolskie”, która ma tylko jeden rekord (kategoria „Ogólnopolski” ma ich 17).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080"/>
        <w:gridCol w:w="1944"/>
        <w:gridCol w:w="1800"/>
        <w:gridCol w:w="2088"/>
      </w:tblGrid>
      <w:tr>
        <w:trPr>
          <w:tblHeader w:val="true"/>
          <w:cantSplit/>
        </w:trPr>
        <w:tc>
          <w:tcPr>
            <w:tcW w:type="dxa" w:w="2592"/>
            <w:shd w:fill="0F2747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Region</w:t>
            </w:r>
          </w:p>
        </w:tc>
        <w:tc>
          <w:tcPr>
            <w:tcW w:type="dxa" w:w="1080"/>
            <w:shd w:fill="0F2747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Rekordy</w:t>
            </w:r>
          </w:p>
        </w:tc>
        <w:tc>
          <w:tcPr>
            <w:tcW w:type="dxa" w:w="1944"/>
            <w:shd w:fill="0F2747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Czynne i unikalne</w:t>
            </w:r>
          </w:p>
        </w:tc>
        <w:tc>
          <w:tcPr>
            <w:tcW w:type="dxa" w:w="1800"/>
            <w:shd w:fill="0F2747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Słabe lub martwe</w:t>
            </w:r>
          </w:p>
        </w:tc>
        <w:tc>
          <w:tcPr>
            <w:tcW w:type="dxa" w:w="2088"/>
            <w:shd w:fill="0F2747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Czynne syndykatowo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Ogólnopolski</w:t>
            </w:r>
          </w:p>
        </w:tc>
        <w:tc>
          <w:tcPr>
            <w:tcW w:type="dxa" w:w="108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17</w:t>
            </w:r>
          </w:p>
        </w:tc>
        <w:tc>
          <w:tcPr>
            <w:tcW w:type="dxa" w:w="1944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13  |  76,5%</w:t>
            </w:r>
          </w:p>
        </w:tc>
        <w:tc>
          <w:tcPr>
            <w:tcW w:type="dxa" w:w="180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0,0%</w:t>
            </w:r>
          </w:p>
        </w:tc>
        <w:tc>
          <w:tcPr>
            <w:tcW w:type="dxa" w:w="2088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4  |  23,5%</w:t>
            </w:r>
          </w:p>
        </w:tc>
      </w:tr>
      <w:tr>
        <w:trPr>
          <w:cantSplit/>
        </w:trPr>
        <w:tc>
          <w:tcPr>
            <w:tcW w:type="dxa" w:w="2592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Zachodniopomorskie</w:t>
            </w:r>
          </w:p>
        </w:tc>
        <w:tc>
          <w:tcPr>
            <w:tcW w:type="dxa" w:w="108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28</w:t>
            </w:r>
          </w:p>
        </w:tc>
        <w:tc>
          <w:tcPr>
            <w:tcW w:type="dxa" w:w="1944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17  |  60,7%</w:t>
            </w:r>
          </w:p>
        </w:tc>
        <w:tc>
          <w:tcPr>
            <w:tcW w:type="dxa" w:w="180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21,4%</w:t>
            </w:r>
          </w:p>
        </w:tc>
        <w:tc>
          <w:tcPr>
            <w:tcW w:type="dxa" w:w="2088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5  |  17,9%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Pomorskie</w:t>
            </w:r>
          </w:p>
        </w:tc>
        <w:tc>
          <w:tcPr>
            <w:tcW w:type="dxa" w:w="108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30</w:t>
            </w:r>
          </w:p>
        </w:tc>
        <w:tc>
          <w:tcPr>
            <w:tcW w:type="dxa" w:w="1944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16  |  53,3%</w:t>
            </w:r>
          </w:p>
        </w:tc>
        <w:tc>
          <w:tcPr>
            <w:tcW w:type="dxa" w:w="180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20,0%</w:t>
            </w:r>
          </w:p>
        </w:tc>
        <w:tc>
          <w:tcPr>
            <w:tcW w:type="dxa" w:w="2088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8  |  26,7%</w:t>
            </w:r>
          </w:p>
        </w:tc>
      </w:tr>
      <w:tr>
        <w:trPr>
          <w:cantSplit/>
        </w:trPr>
        <w:tc>
          <w:tcPr>
            <w:tcW w:type="dxa" w:w="2592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Śląskie</w:t>
            </w:r>
          </w:p>
        </w:tc>
        <w:tc>
          <w:tcPr>
            <w:tcW w:type="dxa" w:w="108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43</w:t>
            </w:r>
          </w:p>
        </w:tc>
        <w:tc>
          <w:tcPr>
            <w:tcW w:type="dxa" w:w="1944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22  |  51,2%</w:t>
            </w:r>
          </w:p>
        </w:tc>
        <w:tc>
          <w:tcPr>
            <w:tcW w:type="dxa" w:w="180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18,6%</w:t>
            </w:r>
          </w:p>
        </w:tc>
        <w:tc>
          <w:tcPr>
            <w:tcW w:type="dxa" w:w="2088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13  |  30,2%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Małopolskie</w:t>
            </w:r>
          </w:p>
        </w:tc>
        <w:tc>
          <w:tcPr>
            <w:tcW w:type="dxa" w:w="108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43</w:t>
            </w:r>
          </w:p>
        </w:tc>
        <w:tc>
          <w:tcPr>
            <w:tcW w:type="dxa" w:w="1944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19  |  44,2%</w:t>
            </w:r>
          </w:p>
        </w:tc>
        <w:tc>
          <w:tcPr>
            <w:tcW w:type="dxa" w:w="180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14,0%</w:t>
            </w:r>
          </w:p>
        </w:tc>
        <w:tc>
          <w:tcPr>
            <w:tcW w:type="dxa" w:w="2088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18  |  41,9%</w:t>
            </w:r>
          </w:p>
        </w:tc>
      </w:tr>
      <w:tr>
        <w:trPr>
          <w:cantSplit/>
        </w:trPr>
        <w:tc>
          <w:tcPr>
            <w:tcW w:type="dxa" w:w="2592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Podlaskie</w:t>
            </w:r>
          </w:p>
        </w:tc>
        <w:tc>
          <w:tcPr>
            <w:tcW w:type="dxa" w:w="108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30</w:t>
            </w:r>
          </w:p>
        </w:tc>
        <w:tc>
          <w:tcPr>
            <w:tcW w:type="dxa" w:w="1944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11  |  36,7%</w:t>
            </w:r>
          </w:p>
        </w:tc>
        <w:tc>
          <w:tcPr>
            <w:tcW w:type="dxa" w:w="180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30,0%</w:t>
            </w:r>
          </w:p>
        </w:tc>
        <w:tc>
          <w:tcPr>
            <w:tcW w:type="dxa" w:w="2088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10  |  33,3%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Wielkopolskie</w:t>
            </w:r>
          </w:p>
        </w:tc>
        <w:tc>
          <w:tcPr>
            <w:tcW w:type="dxa" w:w="108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36</w:t>
            </w:r>
          </w:p>
        </w:tc>
        <w:tc>
          <w:tcPr>
            <w:tcW w:type="dxa" w:w="1944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13  |  36,1%</w:t>
            </w:r>
          </w:p>
        </w:tc>
        <w:tc>
          <w:tcPr>
            <w:tcW w:type="dxa" w:w="180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22,2%</w:t>
            </w:r>
          </w:p>
        </w:tc>
        <w:tc>
          <w:tcPr>
            <w:tcW w:type="dxa" w:w="2088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15  |  41,7%</w:t>
            </w:r>
          </w:p>
        </w:tc>
      </w:tr>
      <w:tr>
        <w:trPr>
          <w:cantSplit/>
        </w:trPr>
        <w:tc>
          <w:tcPr>
            <w:tcW w:type="dxa" w:w="2592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Podkarpackie</w:t>
            </w:r>
          </w:p>
        </w:tc>
        <w:tc>
          <w:tcPr>
            <w:tcW w:type="dxa" w:w="108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31</w:t>
            </w:r>
          </w:p>
        </w:tc>
        <w:tc>
          <w:tcPr>
            <w:tcW w:type="dxa" w:w="1944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11  |  35,5%</w:t>
            </w:r>
          </w:p>
        </w:tc>
        <w:tc>
          <w:tcPr>
            <w:tcW w:type="dxa" w:w="180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19,4%</w:t>
            </w:r>
          </w:p>
        </w:tc>
        <w:tc>
          <w:tcPr>
            <w:tcW w:type="dxa" w:w="2088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14  |  45,2%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Dolnośląskie</w:t>
            </w:r>
          </w:p>
        </w:tc>
        <w:tc>
          <w:tcPr>
            <w:tcW w:type="dxa" w:w="108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38</w:t>
            </w:r>
          </w:p>
        </w:tc>
        <w:tc>
          <w:tcPr>
            <w:tcW w:type="dxa" w:w="1944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13  |  34,2%</w:t>
            </w:r>
          </w:p>
        </w:tc>
        <w:tc>
          <w:tcPr>
            <w:tcW w:type="dxa" w:w="180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26,3%</w:t>
            </w:r>
          </w:p>
        </w:tc>
        <w:tc>
          <w:tcPr>
            <w:tcW w:type="dxa" w:w="2088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15  |  39,5%</w:t>
            </w:r>
          </w:p>
        </w:tc>
      </w:tr>
      <w:tr>
        <w:trPr>
          <w:cantSplit/>
        </w:trPr>
        <w:tc>
          <w:tcPr>
            <w:tcW w:type="dxa" w:w="2592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Lubuskie</w:t>
            </w:r>
          </w:p>
        </w:tc>
        <w:tc>
          <w:tcPr>
            <w:tcW w:type="dxa" w:w="108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22</w:t>
            </w:r>
          </w:p>
        </w:tc>
        <w:tc>
          <w:tcPr>
            <w:tcW w:type="dxa" w:w="1944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7  |  31,8%</w:t>
            </w:r>
          </w:p>
        </w:tc>
        <w:tc>
          <w:tcPr>
            <w:tcW w:type="dxa" w:w="180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18,2%</w:t>
            </w:r>
          </w:p>
        </w:tc>
        <w:tc>
          <w:tcPr>
            <w:tcW w:type="dxa" w:w="2088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11  |  50,0%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Kujawsko-Pomorskie</w:t>
            </w:r>
          </w:p>
        </w:tc>
        <w:tc>
          <w:tcPr>
            <w:tcW w:type="dxa" w:w="108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32</w:t>
            </w:r>
          </w:p>
        </w:tc>
        <w:tc>
          <w:tcPr>
            <w:tcW w:type="dxa" w:w="1944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10  |  31,2%</w:t>
            </w:r>
          </w:p>
        </w:tc>
        <w:tc>
          <w:tcPr>
            <w:tcW w:type="dxa" w:w="180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21,9%</w:t>
            </w:r>
          </w:p>
        </w:tc>
        <w:tc>
          <w:tcPr>
            <w:tcW w:type="dxa" w:w="2088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15  |  46,9%</w:t>
            </w:r>
          </w:p>
        </w:tc>
      </w:tr>
      <w:tr>
        <w:trPr>
          <w:cantSplit/>
        </w:trPr>
        <w:tc>
          <w:tcPr>
            <w:tcW w:type="dxa" w:w="2592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Lubelskie</w:t>
            </w:r>
          </w:p>
        </w:tc>
        <w:tc>
          <w:tcPr>
            <w:tcW w:type="dxa" w:w="108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33</w:t>
            </w:r>
          </w:p>
        </w:tc>
        <w:tc>
          <w:tcPr>
            <w:tcW w:type="dxa" w:w="1944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10  |  30,3%</w:t>
            </w:r>
          </w:p>
        </w:tc>
        <w:tc>
          <w:tcPr>
            <w:tcW w:type="dxa" w:w="180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39,4%</w:t>
            </w:r>
          </w:p>
        </w:tc>
        <w:tc>
          <w:tcPr>
            <w:tcW w:type="dxa" w:w="2088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10  |  30,3%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Świętokrzyskie</w:t>
            </w:r>
          </w:p>
        </w:tc>
        <w:tc>
          <w:tcPr>
            <w:tcW w:type="dxa" w:w="108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20</w:t>
            </w:r>
          </w:p>
        </w:tc>
        <w:tc>
          <w:tcPr>
            <w:tcW w:type="dxa" w:w="1944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6  |  30,0%</w:t>
            </w:r>
          </w:p>
        </w:tc>
        <w:tc>
          <w:tcPr>
            <w:tcW w:type="dxa" w:w="180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10,0%</w:t>
            </w:r>
          </w:p>
        </w:tc>
        <w:tc>
          <w:tcPr>
            <w:tcW w:type="dxa" w:w="2088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12  |  60,0%</w:t>
            </w:r>
          </w:p>
        </w:tc>
      </w:tr>
      <w:tr>
        <w:trPr>
          <w:cantSplit/>
        </w:trPr>
        <w:tc>
          <w:tcPr>
            <w:tcW w:type="dxa" w:w="2592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Łódzkie</w:t>
            </w:r>
          </w:p>
        </w:tc>
        <w:tc>
          <w:tcPr>
            <w:tcW w:type="dxa" w:w="108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37</w:t>
            </w:r>
          </w:p>
        </w:tc>
        <w:tc>
          <w:tcPr>
            <w:tcW w:type="dxa" w:w="1944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11  |  29,7%</w:t>
            </w:r>
          </w:p>
        </w:tc>
        <w:tc>
          <w:tcPr>
            <w:tcW w:type="dxa" w:w="180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24,3%</w:t>
            </w:r>
          </w:p>
        </w:tc>
        <w:tc>
          <w:tcPr>
            <w:tcW w:type="dxa" w:w="2088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17  |  45,9%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Mazowieckie</w:t>
            </w:r>
          </w:p>
        </w:tc>
        <w:tc>
          <w:tcPr>
            <w:tcW w:type="dxa" w:w="108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58</w:t>
            </w:r>
          </w:p>
        </w:tc>
        <w:tc>
          <w:tcPr>
            <w:tcW w:type="dxa" w:w="1944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14  |  24,1%</w:t>
            </w:r>
          </w:p>
        </w:tc>
        <w:tc>
          <w:tcPr>
            <w:tcW w:type="dxa" w:w="180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22,4%</w:t>
            </w:r>
          </w:p>
        </w:tc>
        <w:tc>
          <w:tcPr>
            <w:tcW w:type="dxa" w:w="2088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31  |  53,4%</w:t>
            </w:r>
          </w:p>
        </w:tc>
      </w:tr>
      <w:tr>
        <w:trPr>
          <w:cantSplit/>
        </w:trPr>
        <w:tc>
          <w:tcPr>
            <w:tcW w:type="dxa" w:w="2592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Warmińsko-Mazurskie</w:t>
            </w:r>
          </w:p>
        </w:tc>
        <w:tc>
          <w:tcPr>
            <w:tcW w:type="dxa" w:w="108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30</w:t>
            </w:r>
          </w:p>
        </w:tc>
        <w:tc>
          <w:tcPr>
            <w:tcW w:type="dxa" w:w="1944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7  |  23,3%</w:t>
            </w:r>
          </w:p>
        </w:tc>
        <w:tc>
          <w:tcPr>
            <w:tcW w:type="dxa" w:w="180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33,3%</w:t>
            </w:r>
          </w:p>
        </w:tc>
        <w:tc>
          <w:tcPr>
            <w:tcW w:type="dxa" w:w="2088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13  |  43,3%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Opolskie</w:t>
            </w:r>
          </w:p>
        </w:tc>
        <w:tc>
          <w:tcPr>
            <w:tcW w:type="dxa" w:w="108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18</w:t>
            </w:r>
          </w:p>
        </w:tc>
        <w:tc>
          <w:tcPr>
            <w:tcW w:type="dxa" w:w="1944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2  |  11,1%</w:t>
            </w:r>
          </w:p>
        </w:tc>
        <w:tc>
          <w:tcPr>
            <w:tcW w:type="dxa" w:w="180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27,8%</w:t>
            </w:r>
          </w:p>
        </w:tc>
        <w:tc>
          <w:tcPr>
            <w:tcW w:type="dxa" w:w="2088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11  |  61,1%</w:t>
            </w:r>
          </w:p>
        </w:tc>
      </w:tr>
      <w:tr>
        <w:trPr>
          <w:cantSplit/>
        </w:trPr>
        <w:tc>
          <w:tcPr>
            <w:tcW w:type="dxa" w:w="2592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Ogólnopolskie</w:t>
            </w:r>
          </w:p>
        </w:tc>
        <w:tc>
          <w:tcPr>
            <w:tcW w:type="dxa" w:w="108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</w:t>
            </w:r>
          </w:p>
        </w:tc>
        <w:tc>
          <w:tcPr>
            <w:tcW w:type="dxa" w:w="1944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0  |  0,0%</w:t>
            </w:r>
          </w:p>
        </w:tc>
        <w:tc>
          <w:tcPr>
            <w:tcW w:type="dxa" w:w="180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100,0%</w:t>
            </w:r>
          </w:p>
        </w:tc>
        <w:tc>
          <w:tcPr>
            <w:tcW w:type="dxa" w:w="2088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0  |  0,0%</w:t>
            </w:r>
          </w:p>
        </w:tc>
      </w:tr>
    </w:tbl>
    <w:p>
      <w:pPr>
        <w:spacing w:after="40"/>
      </w:pPr>
    </w:p>
    <w:p>
      <w:pPr>
        <w:pStyle w:val="BodyText"/>
        <w:spacing w:after="120" w:line="271" w:lineRule="auto"/>
      </w:pPr>
      <w:r>
        <w:rPr>
          <w:rFonts w:ascii="Calibri" w:hAnsi="Calibri" w:eastAsia="Calibri"/>
          <w:b w:val="0"/>
          <w:i w:val="0"/>
          <w:color w:val="1B2430"/>
          <w:sz w:val="21"/>
        </w:rPr>
        <w:t>Warto zauważyć, że Mazowieckie ma największą liczbę rekordów (58), ale tylko 14 z nich trafia do kategorii czynnych i unikalnych. Lubelskie ma z kolei 10 portali ledwo żywych, czyli najwięcej spośród wszystkich regionów w tym snapshotcie (Mazowieckie: 9). Regiony różnią się więc nie tylko liczbą adresów, ale też strukturą ich aktywności.</w:t>
      </w:r>
    </w:p>
    <w:p>
      <w:pPr>
        <w:pStyle w:val="Heading2"/>
        <w:spacing w:before="200" w:after="80"/>
        <w:keepNext/>
      </w:pPr>
      <w:r>
        <w:rPr>
          <w:rFonts w:ascii="Calibri" w:hAnsi="Calibri" w:eastAsia="Calibri"/>
          <w:b/>
          <w:i w:val="0"/>
          <w:color w:val="1B7A6F"/>
          <w:sz w:val="25"/>
        </w:rPr>
        <w:t>Gdzie zacząć ręczną weryfikację</w:t>
      </w:r>
    </w:p>
    <w:p>
      <w:pPr>
        <w:pStyle w:val="BodyText"/>
        <w:spacing w:after="120" w:line="271" w:lineRule="auto"/>
      </w:pPr>
      <w:r>
        <w:rPr>
          <w:rFonts w:ascii="Calibri" w:hAnsi="Calibri" w:eastAsia="Calibri"/>
          <w:b w:val="0"/>
          <w:i w:val="0"/>
          <w:color w:val="1B2430"/>
          <w:sz w:val="21"/>
        </w:rPr>
        <w:t>Jeśli raport ma służyć do dalszej pracy operacyjnej, pierwszeństwo powinny mieć trzy grupy: 15 rekordów martwych, 47 automatów z zerową lub niemal zerową unikalnością oraz 61 portali ledwo żywych z przerwą publikacyjną przekraczającą dobę. Dopiero potem opłaca się rozstrzygać, czy część grupy syndykatowej zasługuje na osobne traktowanie jako lokalna redakcja korzystająca z centralnego feedu.</w:t>
      </w:r>
    </w:p>
    <w:p>
      <w:pPr>
        <w:spacing w:before="320" w:after="0"/>
        <w:keepNext/>
      </w:pPr>
      <w:r>
        <w:rPr>
          <w:rFonts w:ascii="Calibri" w:hAnsi="Calibri" w:eastAsia="Calibri"/>
          <w:b/>
          <w:i w:val="0"/>
          <w:color w:val="2A9D8F"/>
          <w:sz w:val="17"/>
          <w:spacing w:val="40"/>
        </w:rPr>
        <w:t>05  ·  WYJAŚNIENIE</w:t>
      </w:r>
    </w:p>
    <w:p>
      <w:pPr>
        <w:pStyle w:val="Heading1"/>
        <w:spacing w:before="40" w:after="140"/>
        <w:keepNext/>
        <w:pBdr>
          <w:bottom w:val="single" w:sz="12" w:space="6" w:color="2A9D8F"/>
        </w:pBdr>
      </w:pPr>
      <w:r>
        <w:rPr>
          <w:rFonts w:ascii="Calibri" w:hAnsi="Calibri" w:eastAsia="Calibri"/>
          <w:b/>
          <w:i w:val="0"/>
          <w:color w:val="0F2747"/>
          <w:sz w:val="40"/>
        </w:rPr>
        <w:t>Co wyjaśnia to zjawisko</w:t>
      </w:r>
    </w:p>
    <w:p>
      <w:pPr>
        <w:pStyle w:val="BodyText"/>
        <w:spacing w:after="120" w:line="271" w:lineRule="auto"/>
      </w:pPr>
      <w:r>
        <w:rPr>
          <w:rFonts w:ascii="Calibri" w:hAnsi="Calibri" w:eastAsia="Calibri"/>
          <w:b w:val="0"/>
          <w:i w:val="0"/>
          <w:color w:val="1B2430"/>
          <w:sz w:val="21"/>
        </w:rPr>
        <w:t>Dane układają się w model sieci z centralnym źródłem treści i długim ogonem lokalnych adresów. Duża grupa portali może publikować często, ponieważ otrzymuje wspólny materiał. To zwiększa zasięg dystrybucji i widoczność sieci, ale nie zwiększa proporcjonalnie liczby niezależnych tematów, reporterów ani lokalnych decyzji redakcyjnych.</w:t>
      </w:r>
    </w:p>
    <w:p>
      <w:pPr>
        <w:pStyle w:val="BodyText"/>
        <w:spacing w:after="120" w:line="271" w:lineRule="auto"/>
      </w:pPr>
      <w:r>
        <w:rPr>
          <w:rFonts w:ascii="Calibri" w:hAnsi="Calibri" w:eastAsia="Calibri"/>
          <w:b w:val="0"/>
          <w:i w:val="0"/>
          <w:color w:val="1B2430"/>
          <w:sz w:val="21"/>
        </w:rPr>
        <w:t>Drugi mechanizm to automatyzacja rytmu publikacji. W grupie zombie średnio 94,9% materiałów przypada na teksty powielone, a 76,1% wpisów pojawia się w regularnych minutach według audytu. Taki wzór jest sygnałem mechanicznego zasilania CMS. Sam w sobie nie jest dowodem, że każdy wpis powstał bez udziału człowieka, dlatego w raporcie nazywam go sygnałem automatyzacji, a nie rozstrzygnięciem.</w:t>
      </w:r>
    </w:p>
    <w:p>
      <w:pPr>
        <w:pStyle w:val="BodyText"/>
        <w:spacing w:after="120" w:line="271" w:lineRule="auto"/>
      </w:pPr>
      <w:r>
        <w:rPr>
          <w:rFonts w:ascii="Calibri" w:hAnsi="Calibri" w:eastAsia="Calibri"/>
          <w:b w:val="0"/>
          <w:i w:val="0"/>
          <w:color w:val="1B2430"/>
          <w:sz w:val="21"/>
        </w:rPr>
        <w:t>Trzeci mechanizm to utrzymywanie lokalnej obecności przy minimalnej produkcji. Portale ledwo żywe pozostają w rejestrze, mają pojedyncze publikacje i często długie przerwy. Z punktu widzenia mapy sieci wciąż istnieją. Z punktu widzenia codziennej pracy redakcyjnej ich wkład jest jednak mały albo zerowy.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63"/>
      </w:tblGrid>
      <w:tr>
        <w:trPr>
          <w:cantSplit/>
        </w:trPr>
        <w:tc>
          <w:tcPr>
            <w:tcW w:type="dxa" w:w="9662"/>
            <w:shd w:fill="FCEDE8"/>
            <w:tcBorders>
              <w:top w:val="nil"/>
              <w:left w:val="single" w:sz="36" w:space="0" w:color="E76F51"/>
              <w:bottom w:val="nil"/>
              <w:right w:val="nil"/>
            </w:tcBorders>
            <w:tcMar>
              <w:top w:w="160" w:type="dxa"/>
              <w:start w:w="240" w:type="dxa"/>
              <w:bottom w:w="160" w:type="dxa"/>
              <w:end w:w="22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B4452B"/>
                <w:sz w:val="21"/>
              </w:rPr>
              <w:t>Jakiej pomyłki unikać</w:t>
            </w:r>
          </w:p>
          <w:p>
            <w:pPr>
              <w:spacing w:after="0" w:line="271" w:lineRule="auto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20"/>
              </w:rPr>
              <w:t>Nie należy utożsamiać aktywności technicznej z żywotnością redakcyjną. Licznik publikacji odpowiada na pytanie, czy coś zostało opublikowane. Unikalność, autorstwo i rytm odpowiadają na pytanie, czy za tym strumieniem widać własną pracę. Właśnie połączenie tych sygnałów pozwala oddzielić żywy portal od adresu, który tylko utrzymuje pozór ciągłego działania.</w:t>
            </w:r>
          </w:p>
        </w:tc>
      </w:tr>
    </w:tbl>
    <w:p>
      <w:pPr>
        <w:spacing w:after="80"/>
      </w:pPr>
    </w:p>
    <w:p>
      <w:pPr>
        <w:spacing w:before="320" w:after="0"/>
        <w:keepNext/>
      </w:pPr>
      <w:r>
        <w:rPr>
          <w:rFonts w:ascii="Calibri" w:hAnsi="Calibri" w:eastAsia="Calibri"/>
          <w:b/>
          <w:i w:val="0"/>
          <w:color w:val="2A9D8F"/>
          <w:sz w:val="17"/>
          <w:spacing w:val="40"/>
        </w:rPr>
        <w:t>06  ·  METODA</w:t>
      </w:r>
    </w:p>
    <w:p>
      <w:pPr>
        <w:pStyle w:val="Heading1"/>
        <w:spacing w:before="40" w:after="140"/>
        <w:keepNext/>
        <w:pBdr>
          <w:bottom w:val="single" w:sz="12" w:space="6" w:color="2A9D8F"/>
        </w:pBdr>
      </w:pPr>
      <w:r>
        <w:rPr>
          <w:rFonts w:ascii="Calibri" w:hAnsi="Calibri" w:eastAsia="Calibri"/>
          <w:b/>
          <w:i w:val="0"/>
          <w:color w:val="0F2747"/>
          <w:sz w:val="40"/>
        </w:rPr>
        <w:t>Metoda i granice wniosku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63"/>
      </w:tblGrid>
      <w:tr>
        <w:trPr>
          <w:cantSplit/>
        </w:trPr>
        <w:tc>
          <w:tcPr>
            <w:tcW w:type="dxa" w:w="9662"/>
            <w:shd w:fill="EAF0F7"/>
            <w:tcBorders>
              <w:top w:val="nil"/>
              <w:left w:val="single" w:sz="36" w:space="0" w:color="0F2747"/>
              <w:bottom w:val="nil"/>
              <w:right w:val="nil"/>
            </w:tcBorders>
            <w:tcMar>
              <w:top w:w="160" w:type="dxa"/>
              <w:start w:w="240" w:type="dxa"/>
              <w:bottom w:w="160" w:type="dxa"/>
              <w:end w:w="22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0F2747"/>
                <w:sz w:val="21"/>
              </w:rPr>
              <w:t>Uwaga o danych</w:t>
            </w:r>
          </w:p>
          <w:p>
            <w:pPr>
              <w:spacing w:after="0" w:line="271" w:lineRule="auto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20"/>
              </w:rPr>
              <w:t>Raport powstał na podstawie lokalnego payloadu data/dashboard.json, który PPGscope oznacza jako Snapshot demonstracyjny oraz PRECOMPUTED / FIXTURE. Rejestr domen pochodzi z konfiguracji zweryfikowanych serwisów, natomiast artykuły i część wskaźników są prekompilowanym rozkładem demonstracyjnym. Snapshot nie jest bieżącym pomiarem każdego wydawcy.</w:t>
            </w:r>
          </w:p>
        </w:tc>
      </w:tr>
    </w:tbl>
    <w:p>
      <w:pPr>
        <w:spacing w:after="80"/>
      </w:pPr>
    </w:p>
    <w:p>
      <w:pPr>
        <w:pStyle w:val="BodyText"/>
        <w:spacing w:after="120" w:line="271" w:lineRule="auto"/>
      </w:pPr>
      <w:r>
        <w:rPr>
          <w:rFonts w:ascii="Calibri" w:hAnsi="Calibri" w:eastAsia="Calibri"/>
          <w:b w:val="0"/>
          <w:i w:val="0"/>
          <w:color w:val="1B2430"/>
          <w:sz w:val="21"/>
        </w:rPr>
        <w:t>PPGscope to autorski system analizy, a Jan Domaniewski jest autorem tej analizy. Przedmiotem badania są portale należące do Polska Press Grupa.</w:t>
      </w:r>
    </w:p>
    <w:p>
      <w:pPr>
        <w:pStyle w:val="BodyText"/>
        <w:spacing w:after="120" w:line="271" w:lineRule="auto"/>
      </w:pPr>
      <w:r>
        <w:rPr>
          <w:rFonts w:ascii="Calibri" w:hAnsi="Calibri" w:eastAsia="Calibri"/>
          <w:b w:val="0"/>
          <w:i w:val="0"/>
          <w:color w:val="1B2430"/>
          <w:sz w:val="21"/>
        </w:rPr>
        <w:t>Audyt żywotności opisuje metodologię jako zewnętrzny audyt HTTP, RSS i sitemap, deduplikację MinHash przy J &gt;= 0,80 oraz detekcję automatów CMS. W praktyce oznacza to porównanie podobieństwa treści i obserwowalnych sygnałów publikacji. Wyniki są przydatne do segmentacji i wyboru obiektów do sprawdzenia, ale nie zastępują audytu redakcyjnego, analityki odbiorców ani danych o przychodach.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680"/>
      </w:tblGrid>
      <w:tr>
        <w:trPr>
          <w:tblHeader w:val="true"/>
          <w:cantSplit/>
        </w:trPr>
        <w:tc>
          <w:tcPr>
            <w:tcW w:type="dxa" w:w="4536"/>
            <w:shd w:fill="0F2747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 raport pokazuje</w:t>
            </w:r>
          </w:p>
        </w:tc>
        <w:tc>
          <w:tcPr>
            <w:tcW w:type="dxa" w:w="4680"/>
            <w:shd w:fill="0F2747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Czego nie rozstrzyga</w:t>
            </w:r>
          </w:p>
        </w:tc>
      </w:tr>
      <w:tr>
        <w:trPr>
          <w:cantSplit/>
        </w:trPr>
        <w:tc>
          <w:tcPr>
            <w:tcW w:type="dxa" w:w="4536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Liczbę rekordów w statusach żywotności</w:t>
            </w:r>
          </w:p>
        </w:tc>
        <w:tc>
          <w:tcPr>
            <w:tcW w:type="dxa" w:w="468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Czy konkretny tekst jest plagiatem lub kto jest jego pierwotnym autorem</w:t>
            </w:r>
          </w:p>
        </w:tc>
      </w:tr>
      <w:tr>
        <w:trPr>
          <w:cantSplit/>
        </w:trPr>
        <w:tc>
          <w:tcPr>
            <w:tcW w:type="dxa" w:w="4536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Wolumen publikacji i udział materiałów unikalnych</w:t>
            </w:r>
          </w:p>
        </w:tc>
        <w:tc>
          <w:tcPr>
            <w:tcW w:type="dxa" w:w="468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Ruch, CTR, zasięg, subskrypcje i konwersję</w:t>
            </w:r>
          </w:p>
        </w:tc>
      </w:tr>
      <w:tr>
        <w:trPr>
          <w:cantSplit/>
        </w:trPr>
        <w:tc>
          <w:tcPr>
            <w:tcW w:type="dxa" w:w="4536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Sygnały syndykacji i automatyzacji</w:t>
            </w:r>
          </w:p>
        </w:tc>
        <w:tc>
          <w:tcPr>
            <w:tcW w:type="dxa" w:w="468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Czy każda publikacja o pełnej minucie była w pełni automatyczna</w:t>
            </w:r>
          </w:p>
        </w:tc>
      </w:tr>
      <w:tr>
        <w:trPr>
          <w:cantSplit/>
        </w:trPr>
        <w:tc>
          <w:tcPr>
            <w:tcW w:type="dxa" w:w="4536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Czas od ostatniej publikacji w snapshotcie</w:t>
            </w:r>
          </w:p>
        </w:tc>
        <w:tc>
          <w:tcPr>
            <w:tcW w:type="dxa" w:w="468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Bieżący stan domen po 18 października 2026</w:t>
            </w:r>
          </w:p>
        </w:tc>
      </w:tr>
      <w:tr>
        <w:trPr>
          <w:cantSplit/>
        </w:trPr>
        <w:tc>
          <w:tcPr>
            <w:tcW w:type="dxa" w:w="4536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Różnice między regionami</w:t>
            </w:r>
          </w:p>
        </w:tc>
        <w:tc>
          <w:tcPr>
            <w:tcW w:type="dxa" w:w="468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Przyczynę różnic ani opłacalność poszczególnych adresów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  <w:keepNext/>
      </w:pPr>
      <w:r>
        <w:rPr>
          <w:rFonts w:ascii="Calibri" w:hAnsi="Calibri" w:eastAsia="Calibri"/>
          <w:b/>
          <w:i w:val="0"/>
          <w:color w:val="1B7A6F"/>
          <w:sz w:val="25"/>
        </w:rPr>
        <w:t>Niespójność liczby portali</w:t>
      </w:r>
    </w:p>
    <w:p>
      <w:pPr>
        <w:pStyle w:val="BodyText"/>
        <w:spacing w:after="120" w:line="271" w:lineRule="auto"/>
      </w:pPr>
      <w:r>
        <w:rPr>
          <w:rFonts w:ascii="Calibri" w:hAnsi="Calibri" w:eastAsia="Calibri"/>
          <w:b w:val="0"/>
          <w:i w:val="0"/>
          <w:color w:val="1B2430"/>
          <w:sz w:val="21"/>
        </w:rPr>
        <w:t>W interfejsie i rejestrze PPGscope widocznych jest 546 portali. Moduł audytu żywotności zawiera 547 rekordów, ponieważ dodatkowo obejmuje domenę polskatimes.pl, oznaczoną jako martwa. Dlatego w tabelach statusowych zachowuję mianownik 547, którego używa sam audyt, a w tytule i opisie odnoszę się do 546 portali z rejestru. To drobna różnica techniczna, ale warto ją zachować, żeby nie ukrywać jakości danych wejściowych.</w:t>
      </w:r>
    </w:p>
    <w:p>
      <w:r>
        <w:br w:type="page"/>
      </w:r>
    </w:p>
    <w:p>
      <w:pPr>
        <w:spacing w:before="320" w:after="0"/>
        <w:keepNext/>
      </w:pPr>
      <w:r>
        <w:rPr>
          <w:rFonts w:ascii="Calibri" w:hAnsi="Calibri" w:eastAsia="Calibri"/>
          <w:b/>
          <w:i w:val="0"/>
          <w:color w:val="2A9D8F"/>
          <w:sz w:val="17"/>
          <w:spacing w:val="40"/>
        </w:rPr>
        <w:t>07  ·  ANEKS</w:t>
      </w:r>
    </w:p>
    <w:p>
      <w:pPr>
        <w:pStyle w:val="Heading1"/>
        <w:spacing w:before="40" w:after="140"/>
        <w:keepNext/>
        <w:pBdr>
          <w:bottom w:val="single" w:sz="12" w:space="6" w:color="2A9D8F"/>
        </w:pBdr>
      </w:pPr>
      <w:r>
        <w:rPr>
          <w:rFonts w:ascii="Calibri" w:hAnsi="Calibri" w:eastAsia="Calibri"/>
          <w:b/>
          <w:i w:val="0"/>
          <w:color w:val="0F2747"/>
          <w:sz w:val="40"/>
        </w:rPr>
        <w:t>Aneks: najważniejsze liczby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800"/>
        <w:gridCol w:w="4824"/>
      </w:tblGrid>
      <w:tr>
        <w:trPr>
          <w:tblHeader w:val="true"/>
          <w:cantSplit/>
        </w:trPr>
        <w:tc>
          <w:tcPr>
            <w:tcW w:type="dxa" w:w="2592"/>
            <w:shd w:fill="0F2747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Wskaźnik</w:t>
            </w:r>
          </w:p>
        </w:tc>
        <w:tc>
          <w:tcPr>
            <w:tcW w:type="dxa" w:w="1800"/>
            <w:shd w:fill="0F2747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Wynik</w:t>
            </w:r>
          </w:p>
        </w:tc>
        <w:tc>
          <w:tcPr>
            <w:tcW w:type="dxa" w:w="4824"/>
            <w:shd w:fill="0F2747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Źródło w snapshotcie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Rejestr portali</w:t>
            </w:r>
          </w:p>
        </w:tc>
        <w:tc>
          <w:tcPr>
            <w:tcW w:type="dxa" w:w="180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546</w:t>
            </w:r>
          </w:p>
        </w:tc>
        <w:tc>
          <w:tcPr>
            <w:tcW w:type="dxa" w:w="4824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dashboard.json titles</w:t>
            </w:r>
          </w:p>
        </w:tc>
      </w:tr>
      <w:tr>
        <w:trPr>
          <w:cantSplit/>
        </w:trPr>
        <w:tc>
          <w:tcPr>
            <w:tcW w:type="dxa" w:w="2592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Rekordy audytu żywotności</w:t>
            </w:r>
          </w:p>
        </w:tc>
        <w:tc>
          <w:tcPr>
            <w:tcW w:type="dxa" w:w="180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547</w:t>
            </w:r>
          </w:p>
        </w:tc>
        <w:tc>
          <w:tcPr>
            <w:tcW w:type="dxa" w:w="4824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portal_vitality_audit portals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Publikacje sieci na dobę</w:t>
            </w:r>
          </w:p>
        </w:tc>
        <w:tc>
          <w:tcPr>
            <w:tcW w:type="dxa" w:w="180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9 794</w:t>
            </w:r>
          </w:p>
        </w:tc>
        <w:tc>
          <w:tcPr>
            <w:tcW w:type="dxa" w:w="4824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portal_vitality_audit network_daily_articles</w:t>
            </w:r>
          </w:p>
        </w:tc>
      </w:tr>
      <w:tr>
        <w:trPr>
          <w:cantSplit/>
        </w:trPr>
        <w:tc>
          <w:tcPr>
            <w:tcW w:type="dxa" w:w="2592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Unikalne publikacje sieci na dobę</w:t>
            </w:r>
          </w:p>
        </w:tc>
        <w:tc>
          <w:tcPr>
            <w:tcW w:type="dxa" w:w="180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4 043</w:t>
            </w:r>
          </w:p>
        </w:tc>
        <w:tc>
          <w:tcPr>
            <w:tcW w:type="dxa" w:w="4824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portal_vitality_audit network_unique_daily_articles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Średnia unikalność po portalach</w:t>
            </w:r>
          </w:p>
        </w:tc>
        <w:tc>
          <w:tcPr>
            <w:tcW w:type="dxa" w:w="180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31,8%</w:t>
            </w:r>
          </w:p>
        </w:tc>
        <w:tc>
          <w:tcPr>
            <w:tcW w:type="dxa" w:w="4824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portal_vitality_audit network_avg_uniqueness_pct</w:t>
            </w:r>
          </w:p>
        </w:tc>
      </w:tr>
      <w:tr>
        <w:trPr>
          <w:cantSplit/>
        </w:trPr>
        <w:tc>
          <w:tcPr>
            <w:tcW w:type="dxa" w:w="2592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Portale typu Nasze Miasto</w:t>
            </w:r>
          </w:p>
        </w:tc>
        <w:tc>
          <w:tcPr>
            <w:tcW w:type="dxa" w:w="1800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509</w:t>
            </w:r>
          </w:p>
        </w:tc>
        <w:tc>
          <w:tcPr>
            <w:tcW w:type="dxa" w:w="4824"/>
            <w:shd w:fill="EEF2F5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portal_vitality_audit portal_type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Data wygenerowania snapshotu</w:t>
            </w:r>
          </w:p>
        </w:tc>
        <w:tc>
          <w:tcPr>
            <w:tcW w:type="dxa" w:w="1800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18 października 2026</w:t>
            </w:r>
          </w:p>
        </w:tc>
        <w:tc>
          <w:tcPr>
            <w:tcW w:type="dxa" w:w="4824"/>
            <w:shd w:fill="FFFFFF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  <w:insideH w:val="single" w:sz="6" w:space="0" w:color="D9E0E7"/>
              <w:insideV w:val="single" w:sz="6" w:space="0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B2430"/>
                <w:sz w:val="17"/>
              </w:rPr>
              <w:t>dashboard.json generated_at</w:t>
            </w:r>
          </w:p>
        </w:tc>
      </w:tr>
    </w:tbl>
    <w:p>
      <w:pPr>
        <w:spacing w:after="40"/>
      </w:pPr>
    </w:p>
    <w:p>
      <w:pPr>
        <w:spacing w:before="240" w:after="0"/>
      </w:pPr>
      <w:r>
        <w:rPr>
          <w:rFonts w:ascii="Calibri" w:hAnsi="Calibri" w:eastAsia="Calibri"/>
          <w:b w:val="0"/>
          <w:i/>
          <w:color w:val="59636E"/>
          <w:sz w:val="17"/>
        </w:rPr>
        <w:t>Plik źródłowy raportu: data/dashboard.json. Raport nie pobierał nowych danych z sieci i nie powinien być opisywany jako pomiar LIVE.</w:t>
      </w:r>
    </w:p>
    <w:sectPr w:rsidR="00FC693F" w:rsidRPr="0006063C" w:rsidSect="00034616">
      <w:footerReference w:type="default" r:id="rId9"/>
      <w:pgSz w:w="11909" w:h="16834"/>
      <w:pgMar w:top="1037" w:right="1123" w:bottom="90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9636E"/>
        <w:sz w:val="16"/>
      </w:rPr>
      <w:t xml:space="preserve">Polska Press Grupa  ·  analiza PPGscope, Jan Domaniewski  ·  </w:t>
    </w:r>
    <w:r>
      <w:rPr>
        <w:rFonts w:ascii="Calibri" w:hAnsi="Calibri" w:eastAsia="Calibri"/>
        <w:b w:val="0"/>
        <w:i w:val="0"/>
        <w:color w:val="59636E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24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B24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243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1" w:lineRule="auto"/>
    </w:pPr>
    <w:rPr>
      <w:rFonts w:ascii="Calibri" w:hAnsi="Calibri" w:eastAsia="Calibri"/>
      <w:color w:val="1B243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Żywotność portali Polska Press Grupa</dc:title>
  <dc:subject>Analiza aktywności, unikalności i automatyzacji publikacji</dc:subject>
  <dc:creator>Jan Domaniewski</dc:creator>
  <cp:keywords>Polska Press Grupa, PPGscope, Jan Domaniewski, portale, żywotność, syndykacja, redakcje lokalne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