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Appendix A: Statutory and Judicial Validation of Emergency Measures</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These emergency measures are not merely policy suggestions; they are anchored in constitutional rights and backed by Supreme Court mandates and specific statutory powers, confirming the authority needed for immediate, decisive action.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THE CONSTITUTIONAL AND JUDICIAL BASIS FOR EMERGENCY ACTION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Constitutional Mandate: Right to Life and Clean Environment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legal bedrock for implementing measures that impose short-term inconvenience, such as mandatory car-pooling, traffic rationing, and construction shutdowns, lies in the fundamental Right to Life guaranteed by the Constitution of India.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Right to Life and Personal Liberty</w:t>
      </w:r>
      <w:r w:rsidDel="00000000" w:rsidR="00000000" w:rsidRPr="00000000">
        <w:rPr>
          <w:rFonts w:ascii="Arial" w:cs="Arial" w:eastAsia="Arial" w:hAnsi="Arial"/>
          <w:rtl w:val="0"/>
        </w:rPr>
        <w:t xml:space="preserve"> articulated in </w:t>
      </w:r>
      <w:r w:rsidDel="00000000" w:rsidR="00000000" w:rsidRPr="00000000">
        <w:rPr>
          <w:rFonts w:ascii="Arial" w:cs="Arial" w:eastAsia="Arial" w:hAnsi="Arial"/>
          <w:b w:val="1"/>
          <w:bCs w:val="1"/>
          <w:rtl w:val="0"/>
        </w:rPr>
        <w:t xml:space="preserve">Article 21</w:t>
      </w:r>
      <w:r w:rsidDel="00000000" w:rsidR="00000000" w:rsidRPr="00000000">
        <w:rPr>
          <w:rFonts w:ascii="Arial" w:cs="Arial" w:eastAsia="Arial" w:hAnsi="Arial"/>
          <w:rtl w:val="0"/>
        </w:rPr>
        <w:t xml:space="preserve"> has been dynamically interpreted by the Supreme Court since 1991. In </w:t>
      </w:r>
      <w:r w:rsidDel="00000000" w:rsidR="00000000" w:rsidRPr="00000000">
        <w:rPr>
          <w:rFonts w:ascii="Arial" w:cs="Arial" w:eastAsia="Arial" w:hAnsi="Arial"/>
          <w:i w:val="1"/>
          <w:iCs w:val="1"/>
          <w:rtl w:val="0"/>
        </w:rPr>
        <w:t xml:space="preserve">Subhash Kumar v. State of Bihar</w:t>
      </w:r>
      <w:r w:rsidDel="00000000" w:rsidR="00000000" w:rsidRPr="00000000">
        <w:rPr>
          <w:rFonts w:ascii="Arial" w:cs="Arial" w:eastAsia="Arial" w:hAnsi="Arial"/>
          <w:rtl w:val="0"/>
        </w:rPr>
        <w:t xml:space="preserve"> (1991), the Court explicitly declared that the right to life encompasses the right to enjoy pollution-free water and air.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interpretation establishes that environmental protection is not a discretionary policy goal but a non-negotiable constitutional imperative. This expansive reading ensures that public health takes precedence over other economic considerations or rights, such as the right to trade (Article 19), whenever the environmental crisis reaches severe levels.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an era of escalating climate threats, the judiciary has further expanded this jurisprudence. The landmark ruling in </w:t>
      </w:r>
      <w:r w:rsidDel="00000000" w:rsidR="00000000" w:rsidRPr="00000000">
        <w:rPr>
          <w:rFonts w:ascii="Arial" w:cs="Arial" w:eastAsia="Arial" w:hAnsi="Arial"/>
          <w:i w:val="1"/>
          <w:iCs w:val="1"/>
          <w:rtl w:val="0"/>
        </w:rPr>
        <w:t xml:space="preserve">M.K. Ranjitsinh &amp; Ors. v. Union of India &amp; Ors.</w:t>
      </w:r>
      <w:r w:rsidDel="00000000" w:rsidR="00000000" w:rsidRPr="00000000">
        <w:rPr>
          <w:rFonts w:ascii="Arial" w:cs="Arial" w:eastAsia="Arial" w:hAnsi="Arial"/>
          <w:rtl w:val="0"/>
        </w:rPr>
        <w:t xml:space="preserve"> (2024) articulated a distinct fundamental right against climate degradation.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This constitutional development provides additional legal justification for the proposed measures, framing the fight against severe air pollution as a direct defense of constitutional rights, particularly for vulnerable populations disproportionately affected by climate and pollution crises.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Doctrines of Liability and Equity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Judicial activism has provided the ethical and financial principles necessary to underpin the costs associated with stringent EMCAP measures. These doctrines assign responsibility and mandate compensation, ensuring environmental protection is integrated with economic accountability.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Polluter Pays and Precautionary Principles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Supreme Court established key environmental doctrines in </w:t>
      </w:r>
      <w:r w:rsidDel="00000000" w:rsidR="00000000" w:rsidRPr="00000000">
        <w:rPr>
          <w:rFonts w:ascii="Arial" w:cs="Arial" w:eastAsia="Arial" w:hAnsi="Arial"/>
          <w:i w:val="1"/>
          <w:iCs w:val="1"/>
          <w:rtl w:val="0"/>
        </w:rPr>
        <w:t xml:space="preserve">Vellore Citizens Welfare Forum v. Union of India</w:t>
      </w:r>
      <w:r w:rsidDel="00000000" w:rsidR="00000000" w:rsidRPr="00000000">
        <w:rPr>
          <w:rFonts w:ascii="Arial" w:cs="Arial" w:eastAsia="Arial" w:hAnsi="Arial"/>
          <w:rtl w:val="0"/>
        </w:rPr>
        <w:t xml:space="preserve"> (1996).</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judgment integrated the </w:t>
      </w:r>
      <w:r w:rsidDel="00000000" w:rsidR="00000000" w:rsidRPr="00000000">
        <w:rPr>
          <w:rFonts w:ascii="Arial" w:cs="Arial" w:eastAsia="Arial" w:hAnsi="Arial"/>
          <w:b w:val="1"/>
          <w:bCs w:val="1"/>
          <w:rtl w:val="0"/>
        </w:rPr>
        <w:t xml:space="preserve">Precautionary Principle</w:t>
      </w:r>
      <w:r w:rsidDel="00000000" w:rsidR="00000000" w:rsidRPr="00000000">
        <w:rPr>
          <w:rFonts w:ascii="Arial" w:cs="Arial" w:eastAsia="Arial" w:hAnsi="Arial"/>
          <w:rtl w:val="0"/>
        </w:rPr>
        <w:t xml:space="preserve"> and the </w:t>
      </w:r>
      <w:r w:rsidDel="00000000" w:rsidR="00000000" w:rsidRPr="00000000">
        <w:rPr>
          <w:rFonts w:ascii="Arial" w:cs="Arial" w:eastAsia="Arial" w:hAnsi="Arial"/>
          <w:b w:val="1"/>
          <w:bCs w:val="1"/>
          <w:rtl w:val="0"/>
        </w:rPr>
        <w:t xml:space="preserve">Polluter Pays Principle</w:t>
      </w:r>
      <w:r w:rsidDel="00000000" w:rsidR="00000000" w:rsidRPr="00000000">
        <w:rPr>
          <w:rFonts w:ascii="Arial" w:cs="Arial" w:eastAsia="Arial" w:hAnsi="Arial"/>
          <w:rtl w:val="0"/>
        </w:rPr>
        <w:t xml:space="preserve"> into Indian law.</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Precautionary Principle supports proactive measures, meaning the government must implement restrictions—such as construction holidays or vehicle bans—before pollution levels deteriorate irreversibly. The Polluter Pays Principle justifies economic measures like the imposition of a Pollution Cess, increased fuel prices, and heavy fines on industrial and vehicular violators, thereby compelling those responsible for pollution to bear the cost of environmental mitigation and cleaning.</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 Liability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w:t>
      </w:r>
      <w:r w:rsidDel="00000000" w:rsidR="00000000" w:rsidRPr="00000000">
        <w:rPr>
          <w:rFonts w:ascii="Arial" w:cs="Arial" w:eastAsia="Arial" w:hAnsi="Arial"/>
          <w:i w:val="1"/>
          <w:iCs w:val="1"/>
          <w:rtl w:val="0"/>
        </w:rPr>
        <w:t xml:space="preserve">M.C. Mehta v. Union of India</w:t>
      </w:r>
      <w:r w:rsidDel="00000000" w:rsidR="00000000" w:rsidRPr="00000000">
        <w:rPr>
          <w:rFonts w:ascii="Arial" w:cs="Arial" w:eastAsia="Arial" w:hAnsi="Arial"/>
          <w:rtl w:val="0"/>
        </w:rPr>
        <w:t xml:space="preserve"> (1987), known as the Oleum Gas Leak case, the Supreme Court established the doctrine of </w:t>
      </w:r>
      <w:r w:rsidDel="00000000" w:rsidR="00000000" w:rsidRPr="00000000">
        <w:rPr>
          <w:rFonts w:ascii="Arial" w:cs="Arial" w:eastAsia="Arial" w:hAnsi="Arial"/>
          <w:b w:val="1"/>
          <w:bCs w:val="1"/>
          <w:rtl w:val="0"/>
        </w:rPr>
        <w:t xml:space="preserve">Absolute Liability</w:t>
      </w:r>
      <w:r w:rsidDel="00000000" w:rsidR="00000000" w:rsidRPr="00000000">
        <w:rPr>
          <w:rFonts w:ascii="Arial" w:cs="Arial" w:eastAsia="Arial" w:hAnsi="Arial"/>
          <w:rtl w:val="0"/>
        </w:rPr>
        <w:t xml:space="preserve"> for industries engaged in hazardous activities. The Court held that such industries are strictly liable for any resulting damage, regardless of negligence. This doctrine ensures that penalties and enforcement against non-compliant or severely polluting industries, as recommended in EMCAP, are legally robust and cannot be easily overturned through standard negligence defenses.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 full citation for this foundational judgment is 1987 SCR (1) 819; AIR 1987 965.</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STATUTORY FRAMEWORK: OMNIBUS POWERS AND SUPRA-REGULATORY AUTHORITY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Directive Powers under the Environment (Protection) Act, 1986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most immediate and powerful legal instrument available for enforcing emergency measures is the Environment (Protection) Act, 1986 (EPA). This Act vests the Central Government with expansive powers to regulate activities impacting the environment.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Act grants the Central Government the power to take all measures deemed necessary or expedient for protecting and improving the quality of the environment under </w:t>
      </w:r>
      <w:r w:rsidDel="00000000" w:rsidR="00000000" w:rsidRPr="00000000">
        <w:rPr>
          <w:rFonts w:ascii="Arial" w:cs="Arial" w:eastAsia="Arial" w:hAnsi="Arial"/>
          <w:b w:val="1"/>
          <w:bCs w:val="1"/>
          <w:rtl w:val="0"/>
        </w:rPr>
        <w:t xml:space="preserve">Section 3(1) and 3(2)</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includes laying down standards for environmental quality, setting emission standards, and restricting the operation of certain industries or processes in specific areas.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Crucially, </w:t>
      </w:r>
      <w:r w:rsidDel="00000000" w:rsidR="00000000" w:rsidRPr="00000000">
        <w:rPr>
          <w:rFonts w:ascii="Arial" w:cs="Arial" w:eastAsia="Arial" w:hAnsi="Arial"/>
          <w:b w:val="1"/>
          <w:bCs w:val="1"/>
          <w:rtl w:val="0"/>
        </w:rPr>
        <w:t xml:space="preserve">Section 5 of the EPA, 1986</w:t>
      </w:r>
      <w:r w:rsidDel="00000000" w:rsidR="00000000" w:rsidRPr="00000000">
        <w:rPr>
          <w:rFonts w:ascii="Arial" w:cs="Arial" w:eastAsia="Arial" w:hAnsi="Arial"/>
          <w:rtl w:val="0"/>
        </w:rPr>
        <w:t xml:space="preserve">, grants the Central Government the authority to issue binding directions to any person, officer, or authority.</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power includes the critical ability to direct: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closure, prohibition, or regulation of any industry, operation, or process</w:t>
      </w:r>
      <w:r w:rsidDel="00000000" w:rsidR="00000000" w:rsidRPr="00000000">
        <w:rPr>
          <w:rFonts w:ascii="Arial" w:cs="Arial" w:eastAsia="Arial" w:hAnsi="Arial"/>
          <w:rtl w:val="0"/>
        </w:rPr>
        <w:t xml:space="preserve">; or</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stoppage or regulation of the supply of electricity or water or any other service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7</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section serves as the primary legal gateway for imposing wide-ranging, short-term restrictions proposed in EMCAP, such as industrial shutdowns, construction holidays, and the suspension of polluting processes (e.g., Waste-to-Energy plants during winter).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Commission for Air Quality Management (CAQM) Act, 2021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difficulty in coordinating pollution control measures across multiple jurisdictions (Delhi, Haryana, Punjab, Rajasthan, and Uttar Pradesh) led to the establishment of a specialized, powerful supra-regulatory body. The Commission for Air Quality Management in National Capital Region and Adjoining Areas Act, 2021, replaced the earlier EPCA and provided the crucial unified statutory mechanism needed for inter-state enforcement.</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CAQM’s authority is central to overcoming the political and geographical challenges of NCR pollution. Under the CAQM Act, the Commission's directions possess supreme legal authority, prevailing over any conflicting orders issued by state governments, the Central Pollution Control Board (CPCB), or State Pollution Control Boards.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This centralization of authority ensures that the high-level oversight and coordination mechanisms proposed in EMCAP (e.g., monthly PM-CM-Chief Secretary reviews) are legally backed and compulsory.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CAQM Act contains stringent penal provisions. </w:t>
      </w:r>
      <w:r w:rsidDel="00000000" w:rsidR="00000000" w:rsidRPr="00000000">
        <w:rPr>
          <w:rFonts w:ascii="Arial" w:cs="Arial" w:eastAsia="Arial" w:hAnsi="Arial"/>
          <w:b w:val="1"/>
          <w:bCs w:val="1"/>
          <w:rtl w:val="0"/>
        </w:rPr>
        <w:t xml:space="preserve">Section 14 of the CAQM Act, 2021</w:t>
      </w:r>
      <w:r w:rsidDel="00000000" w:rsidR="00000000" w:rsidRPr="00000000">
        <w:rPr>
          <w:rFonts w:ascii="Arial" w:cs="Arial" w:eastAsia="Arial" w:hAnsi="Arial"/>
          <w:rtl w:val="0"/>
        </w:rPr>
        <w:t xml:space="preserve">, stipulates that any contravention of the Commission's directions is a serious offence, punishable with a fine extending up to </w:t>
      </w:r>
      <w:r w:rsidDel="00000000" w:rsidR="00000000" w:rsidRPr="00000000">
        <w:rPr>
          <w:rFonts w:ascii="Arial" w:cs="Arial" w:eastAsia="Arial" w:hAnsi="Arial"/>
          <w:b w:val="1"/>
          <w:bCs w:val="1"/>
          <w:rtl w:val="0"/>
        </w:rPr>
        <w:t xml:space="preserve">₹1 crore</w:t>
      </w:r>
      <w:r w:rsidDel="00000000" w:rsidR="00000000" w:rsidRPr="00000000">
        <w:rPr>
          <w:rFonts w:ascii="Arial" w:cs="Arial" w:eastAsia="Arial" w:hAnsi="Arial"/>
          <w:rtl w:val="0"/>
        </w:rPr>
        <w:t xml:space="preserve"> and imprisonment that may extend up to </w:t>
      </w:r>
      <w:r w:rsidDel="00000000" w:rsidR="00000000" w:rsidRPr="00000000">
        <w:rPr>
          <w:rFonts w:ascii="Arial" w:cs="Arial" w:eastAsia="Arial" w:hAnsi="Arial"/>
          <w:b w:val="1"/>
          <w:bCs w:val="1"/>
          <w:rtl w:val="0"/>
        </w:rPr>
        <w:t xml:space="preserve">5 years</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This statutory backing gives the CAQM the necessary teeth to ensure strict enforcement and accountability, addressing the core problem identified in the EMCAP document regarding weak enforcement.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Air (Prevention and Control of Pollution) Act, 1981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the EPA and CAQM provide omnibus power, the older Air Act also retains targeted enforcement mechanisms. The Delhi Pollution Control Committee (DPCC) frequently utilizes </w:t>
      </w:r>
      <w:r w:rsidDel="00000000" w:rsidR="00000000" w:rsidRPr="00000000">
        <w:rPr>
          <w:rFonts w:ascii="Arial" w:cs="Arial" w:eastAsia="Arial" w:hAnsi="Arial"/>
          <w:b w:val="1"/>
          <w:bCs w:val="1"/>
          <w:rtl w:val="0"/>
        </w:rPr>
        <w:t xml:space="preserve">Section 31(A), Air (Prevention and Control of Pollution) Act, 1981</w:t>
      </w:r>
      <w:r w:rsidDel="00000000" w:rsidR="00000000" w:rsidRPr="00000000">
        <w:rPr>
          <w:rFonts w:ascii="Arial" w:cs="Arial" w:eastAsia="Arial" w:hAnsi="Arial"/>
          <w:rtl w:val="0"/>
        </w:rPr>
        <w:t xml:space="preserve">, to issue binding orders regarding specific pollution sources.</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For example, the DPCC has used this section, citing the directives of the Supreme Court, NGT, and CAQM, to order the removal of unauthorized roadside vendors storing or selling construction materials, thereby combating one of the capital’s key fugitive dust sources.</w:t>
      </w:r>
      <w:r w:rsidDel="00000000" w:rsidR="00000000" w:rsidRPr="00000000">
        <w:rPr>
          <w:rFonts w:ascii="Arial" w:cs="Arial" w:eastAsia="Arial" w:hAnsi="Arial"/>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JUDICIALLY MANDATED EMERGENCY RESPONSE: GRAP AND ITS MECHANISMS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operationalization of emergency measures is governed by the Graded Response Action Plan (GRAP), a framework that ensures predefined actions are implemented incrementally as air quality deteriorates.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Legal Foundation of the GRAP Framework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GRAP is not merely an administrative guideline but a judicially approved mandate. The framework was initially submitted by the CPCB and formally approved by the Supreme Court of India in 2016 during the ongoing matter of </w:t>
      </w:r>
      <w:r w:rsidDel="00000000" w:rsidR="00000000" w:rsidRPr="00000000">
        <w:rPr>
          <w:rFonts w:ascii="Arial" w:cs="Arial" w:eastAsia="Arial" w:hAnsi="Arial"/>
          <w:i w:val="1"/>
          <w:iCs w:val="1"/>
          <w:rtl w:val="0"/>
        </w:rPr>
        <w:t xml:space="preserve">M. C. Mehta vs. Union of India</w:t>
      </w:r>
      <w:r w:rsidDel="00000000" w:rsidR="00000000" w:rsidRPr="00000000">
        <w:rPr>
          <w:rFonts w:ascii="Arial" w:cs="Arial" w:eastAsia="Arial" w:hAnsi="Arial"/>
          <w:rtl w:val="0"/>
        </w:rPr>
        <w:t xml:space="preserve"> (W.P. No. 13029/1985).</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Since 2021, the CAQM has been responsible for invoking and implementing GRAP stages across the entire NCR.</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 plan is incremental; when the Air Quality Index (AQI) dips from 'Poor' to 'Very Poor,' measures from both stages must be enforced.</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Stage-IV Restrictions and EMCAP Implementation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Fonts w:ascii="Arial" w:cs="Arial" w:eastAsia="Arial" w:hAnsi="Arial"/>
          <w:rtl w:val="0"/>
        </w:rPr>
        <w:t xml:space="preserve">The most stringent proposals in the EMCAP document correspond directly to measures invoked under GRAP Stage IV (Severe Plus, AQI &gt; 450).</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These restrictions are legally binding across Delhi, Gurugram, Faridabad, Ghaziabad, and Gautam Buddha Nagar, and similar measures are advised for the wider NCR.</w:t>
      </w:r>
      <w:r w:rsidDel="00000000" w:rsidR="00000000" w:rsidRPr="00000000">
        <w:rPr>
          <w:rFonts w:ascii="Arial" w:cs="Arial" w:eastAsia="Arial" w:hAnsi="Arial"/>
          <w:sz w:val="24"/>
          <w:szCs w:val="24"/>
          <w:vertAlign w:val="superscript"/>
          <w:rtl w:val="0"/>
        </w:rPr>
        <w:t xml:space="preserve">1</w:t>
      </w:r>
      <w:r w:rsidDel="00000000" w:rsidR="00000000" w:rsidRPr="00000000">
        <w:rPr>
          <w:sz w:val="24"/>
          <w:szCs w:val="24"/>
          <w:vertAlign w:val="superscript"/>
          <w:rtl w:val="0"/>
        </w:rPr>
        <w:t xml:space="preserve">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Measures validated under GRAP Stage IV include: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Transport Restrictions:</w:t>
      </w:r>
      <w:r w:rsidDel="00000000" w:rsidR="00000000" w:rsidRPr="00000000">
        <w:rPr>
          <w:rFonts w:ascii="Arial" w:cs="Arial" w:eastAsia="Arial" w:hAnsi="Arial"/>
          <w:rtl w:val="0"/>
        </w:rPr>
        <w:t xml:space="preserve"> Strict bans on the entry of BS-IV trucks into Delhi (except those carrying essential commodities) and restrictions on Light Commercial Vehicles (LCVs) from outside Delhi, unless they are electric, CNG, or BS-VI diesel.</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600" w:firstLine="0"/>
        <w:rPr>
          <w:sz w:val="24"/>
          <w:szCs w:val="24"/>
          <w:vertAlign w:val="superscript"/>
        </w:rPr>
      </w:pPr>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Construction Bans:</w:t>
      </w:r>
      <w:r w:rsidDel="00000000" w:rsidR="00000000" w:rsidRPr="00000000">
        <w:rPr>
          <w:rFonts w:ascii="Arial" w:cs="Arial" w:eastAsia="Arial" w:hAnsi="Arial"/>
          <w:rtl w:val="0"/>
        </w:rPr>
        <w:t xml:space="preserve"> A strict, non-exempt ban on Construction and Demolition (C&amp;D) activities. Notably, this ban is so comprehensive that it includes typically essential public works like linear projects (highways, flyovers, power transmission lines).</w:t>
      </w:r>
      <w:r w:rsidDel="00000000" w:rsidR="00000000" w:rsidRPr="00000000">
        <w:rPr>
          <w:rFonts w:ascii="Arial" w:cs="Arial" w:eastAsia="Arial" w:hAnsi="Arial"/>
          <w:sz w:val="24"/>
          <w:szCs w:val="24"/>
          <w:vertAlign w:val="superscript"/>
          <w:rtl w:val="0"/>
        </w:rPr>
        <w:t xml:space="preserve">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600" w:firstLine="0"/>
        <w:rPr>
          <w:sz w:val="24"/>
          <w:szCs w:val="24"/>
          <w:vertAlign w:val="superscript"/>
        </w:rPr>
      </w:pP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Work and School Shifts:</w:t>
      </w:r>
      <w:r w:rsidDel="00000000" w:rsidR="00000000" w:rsidRPr="00000000">
        <w:rPr>
          <w:rFonts w:ascii="Arial" w:cs="Arial" w:eastAsia="Arial" w:hAnsi="Arial"/>
          <w:rtl w:val="0"/>
        </w:rPr>
        <w:t xml:space="preserve"> Directives for state governments to conduct physical classes in a hybrid mode (combining physical and online classes) for Classes VI to IX and Class XI, and allowing public and private offices to function at 50 per cent capacity, with remaining staff working from home.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measures fulfill the EMCAP proposal for mandatory WFH during "Severe" days.</w:t>
      </w:r>
      <w:r w:rsidDel="00000000" w:rsidR="00000000" w:rsidRPr="00000000">
        <w:rPr>
          <w:rFonts w:ascii="Arial" w:cs="Arial" w:eastAsia="Arial" w:hAnsi="Arial"/>
          <w:sz w:val="24"/>
          <w:szCs w:val="24"/>
          <w:vertAlign w:val="superscript"/>
          <w:rtl w:val="0"/>
        </w:rPr>
        <w:t xml:space="preserve">1</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600" w:firstLine="0"/>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LEGAL VALIDATION OF TRANSPORTATION AND VEHICULAR CONTROLS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Prohibition on Older Internal Combustion Engine (ICE) Vehicles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EMCAP proposal to ban older diesel and petrol vehicles is firmly rooted in long-standing judicial precedent, enforced by the highest courts.</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10/15 Year Ban Rule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National Green Tribunal (NGT) first mandated the restriction on older vehicles in the NCR. In </w:t>
      </w:r>
      <w:r w:rsidDel="00000000" w:rsidR="00000000" w:rsidRPr="00000000">
        <w:rPr>
          <w:rFonts w:ascii="Arial" w:cs="Arial" w:eastAsia="Arial" w:hAnsi="Arial"/>
          <w:i w:val="1"/>
          <w:iCs w:val="1"/>
          <w:rtl w:val="0"/>
        </w:rPr>
        <w:t xml:space="preserve">Vardhaman Kaushik &amp; Ors V/s UOI &amp; Ors</w:t>
      </w:r>
      <w:r w:rsidDel="00000000" w:rsidR="00000000" w:rsidRPr="00000000">
        <w:rPr>
          <w:rFonts w:ascii="Arial" w:cs="Arial" w:eastAsia="Arial" w:hAnsi="Arial"/>
          <w:rtl w:val="0"/>
        </w:rPr>
        <w:t xml:space="preserve"> (O.A. No. 21 of 2014, Orders dated 26.11.2014 and 07.04.2015), the NGT directed that all diesel vehicles older than </w:t>
      </w:r>
      <w:r w:rsidDel="00000000" w:rsidR="00000000" w:rsidRPr="00000000">
        <w:rPr>
          <w:rFonts w:ascii="Arial" w:cs="Arial" w:eastAsia="Arial" w:hAnsi="Arial"/>
          <w:b w:val="1"/>
          <w:bCs w:val="1"/>
          <w:rtl w:val="0"/>
        </w:rPr>
        <w:t xml:space="preserve">10 years</w:t>
      </w:r>
      <w:r w:rsidDel="00000000" w:rsidR="00000000" w:rsidRPr="00000000">
        <w:rPr>
          <w:rFonts w:ascii="Arial" w:cs="Arial" w:eastAsia="Arial" w:hAnsi="Arial"/>
          <w:rtl w:val="0"/>
        </w:rPr>
        <w:t xml:space="preserve"> and petrol vehicles older than </w:t>
      </w:r>
      <w:r w:rsidDel="00000000" w:rsidR="00000000" w:rsidRPr="00000000">
        <w:rPr>
          <w:rFonts w:ascii="Arial" w:cs="Arial" w:eastAsia="Arial" w:hAnsi="Arial"/>
          <w:b w:val="1"/>
          <w:bCs w:val="1"/>
          <w:rtl w:val="0"/>
        </w:rPr>
        <w:t xml:space="preserve">15 years</w:t>
      </w:r>
      <w:r w:rsidDel="00000000" w:rsidR="00000000" w:rsidRPr="00000000">
        <w:rPr>
          <w:rFonts w:ascii="Arial" w:cs="Arial" w:eastAsia="Arial" w:hAnsi="Arial"/>
          <w:rtl w:val="0"/>
        </w:rPr>
        <w:t xml:space="preserve"> would not be permitted to ply on NCR roads.</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NGT directive was subsequently upheld by the Supreme Court in the comprehensive judgment related to air pollution control. The SC’s Order dated </w:t>
      </w:r>
      <w:r w:rsidDel="00000000" w:rsidR="00000000" w:rsidRPr="00000000">
        <w:rPr>
          <w:rFonts w:ascii="Arial" w:cs="Arial" w:eastAsia="Arial" w:hAnsi="Arial"/>
          <w:b w:val="1"/>
          <w:bCs w:val="1"/>
          <w:rtl w:val="0"/>
        </w:rPr>
        <w:t xml:space="preserve">29.10.2018</w:t>
      </w:r>
      <w:r w:rsidDel="00000000" w:rsidR="00000000" w:rsidRPr="00000000">
        <w:rPr>
          <w:rFonts w:ascii="Arial" w:cs="Arial" w:eastAsia="Arial" w:hAnsi="Arial"/>
          <w:rtl w:val="0"/>
        </w:rPr>
        <w:t xml:space="preserve"> in </w:t>
      </w:r>
      <w:r w:rsidDel="00000000" w:rsidR="00000000" w:rsidRPr="00000000">
        <w:rPr>
          <w:rFonts w:ascii="Arial" w:cs="Arial" w:eastAsia="Arial" w:hAnsi="Arial"/>
          <w:i w:val="1"/>
          <w:iCs w:val="1"/>
          <w:rtl w:val="0"/>
        </w:rPr>
        <w:t xml:space="preserve">M.C Mehta vs. Union of India &amp; Ors.</w:t>
      </w:r>
      <w:r w:rsidDel="00000000" w:rsidR="00000000" w:rsidRPr="00000000">
        <w:rPr>
          <w:rFonts w:ascii="Arial" w:cs="Arial" w:eastAsia="Arial" w:hAnsi="Arial"/>
          <w:rtl w:val="0"/>
        </w:rPr>
        <w:t xml:space="preserve"> (Writ Petition (Civil) No. 13029/1985) confirmed the ban and directed enforcement, including the impounding of violating vehicles.</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Following this, the Delhi Transport Department issued circulars to de-register and impound vehicles that meet these age criteria.</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This legal framework mandates that older vehicles, irrespective of their current roadworthiness, are deemed illegal for use in the NCR.</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Proposed Ban on New ICE Sales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EMCAP proposal to ban the sale and registration of all new ICE vehicles from April 1, 2026, extends beyond existing judicial precedent.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Currently, legal restrictions target only polluting </w:t>
      </w:r>
      <w:r w:rsidDel="00000000" w:rsidR="00000000" w:rsidRPr="00000000">
        <w:rPr>
          <w:rFonts w:ascii="Arial" w:cs="Arial" w:eastAsia="Arial" w:hAnsi="Arial"/>
          <w:i w:val="1"/>
          <w:iCs w:val="1"/>
          <w:rtl w:val="0"/>
        </w:rPr>
        <w:t xml:space="preserve">old</w:t>
      </w:r>
      <w:r w:rsidDel="00000000" w:rsidR="00000000" w:rsidRPr="00000000">
        <w:rPr>
          <w:rFonts w:ascii="Arial" w:cs="Arial" w:eastAsia="Arial" w:hAnsi="Arial"/>
          <w:rtl w:val="0"/>
        </w:rPr>
        <w:t xml:space="preserve"> vehicles. However, a restriction on the sale of </w:t>
      </w:r>
      <w:r w:rsidDel="00000000" w:rsidR="00000000" w:rsidRPr="00000000">
        <w:rPr>
          <w:rFonts w:ascii="Arial" w:cs="Arial" w:eastAsia="Arial" w:hAnsi="Arial"/>
          <w:i w:val="1"/>
          <w:iCs w:val="1"/>
          <w:rtl w:val="0"/>
        </w:rPr>
        <w:t xml:space="preserve">new</w:t>
      </w:r>
      <w:r w:rsidDel="00000000" w:rsidR="00000000" w:rsidRPr="00000000">
        <w:rPr>
          <w:rFonts w:ascii="Arial" w:cs="Arial" w:eastAsia="Arial" w:hAnsi="Arial"/>
          <w:rtl w:val="0"/>
        </w:rPr>
        <w:t xml:space="preserve"> vehicles is legally defensible under the broad, prophylactic powers granted by </w:t>
      </w:r>
      <w:r w:rsidDel="00000000" w:rsidR="00000000" w:rsidRPr="00000000">
        <w:rPr>
          <w:rFonts w:ascii="Arial" w:cs="Arial" w:eastAsia="Arial" w:hAnsi="Arial"/>
          <w:b w:val="1"/>
          <w:bCs w:val="1"/>
          <w:rtl w:val="0"/>
        </w:rPr>
        <w:t xml:space="preserve">Section 3 and Section 5 of the EPA, 1986</w:t>
      </w:r>
      <w:r w:rsidDel="00000000" w:rsidR="00000000" w:rsidRPr="00000000">
        <w:rPr>
          <w:rFonts w:ascii="Arial" w:cs="Arial" w:eastAsia="Arial" w:hAnsi="Arial"/>
          <w:rtl w:val="0"/>
        </w:rPr>
        <w:t xml:space="preserve">. Since vehicular emissions are documented as the single largest contributor (58% of internal PM2.5 sources)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restriction on creating future pollution sources can be justified as a necessary measure for protecting life under Article 21. Such a measure would require a Central Government notification, which, while likely to face challenges under the right to trade (Article 19(1)(g)), would ultimately rely on the overriding public health mandate established by the judiciary.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Mandatory Pollution Under Control (PUC) Compliance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EMCAP proposal for mandatory quarterly PUC tests, updated to international norms, and the denial of refuelling for dirty vehicles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is supported by the Motor Vehicles Act, 1988 (MV Act).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legal requirement for emission control is enshrined in </w:t>
      </w:r>
      <w:r w:rsidDel="00000000" w:rsidR="00000000" w:rsidRPr="00000000">
        <w:rPr>
          <w:rFonts w:ascii="Arial" w:cs="Arial" w:eastAsia="Arial" w:hAnsi="Arial"/>
          <w:b w:val="1"/>
          <w:bCs w:val="1"/>
          <w:rtl w:val="0"/>
        </w:rPr>
        <w:t xml:space="preserve">Section 190(2) of the Motor Vehicles Act, 1988</w:t>
      </w:r>
      <w:r w:rsidDel="00000000" w:rsidR="00000000" w:rsidRPr="00000000">
        <w:rPr>
          <w:rFonts w:ascii="Arial" w:cs="Arial" w:eastAsia="Arial" w:hAnsi="Arial"/>
          <w:rtl w:val="0"/>
        </w:rPr>
        <w:t xml:space="preserve">, which explicitly mandates adherence to emission norms and possession of a valid PUC certificate.</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Driving a vehicle without a valid PUC is a punishable offence.</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Enforcement measures are strict and escalating: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Penalties:</w:t>
      </w:r>
      <w:r w:rsidDel="00000000" w:rsidR="00000000" w:rsidRPr="00000000">
        <w:rPr>
          <w:rFonts w:ascii="Arial" w:cs="Arial" w:eastAsia="Arial" w:hAnsi="Arial"/>
          <w:rtl w:val="0"/>
        </w:rPr>
        <w:t xml:space="preserve"> Fines can range up to ₹10,000 for repeat violations, depending on the state's specific rules.</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600" w:firstLine="0"/>
        <w:rPr>
          <w:sz w:val="24"/>
          <w:szCs w:val="24"/>
          <w:vertAlign w:val="superscript"/>
        </w:rPr>
      </w:pPr>
      <w:r w:rsidDel="00000000" w:rsidR="00000000" w:rsidRPr="00000000">
        <w:rPr>
          <w:rtl w:val="0"/>
        </w:rPr>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License Suspension:</w:t>
      </w:r>
      <w:r w:rsidDel="00000000" w:rsidR="00000000" w:rsidRPr="00000000">
        <w:rPr>
          <w:rFonts w:ascii="Arial" w:cs="Arial" w:eastAsia="Arial" w:hAnsi="Arial"/>
          <w:rtl w:val="0"/>
        </w:rPr>
        <w:t xml:space="preserve"> In certain jurisdictions, the first offence itself can trigger a </w:t>
      </w:r>
      <w:r w:rsidDel="00000000" w:rsidR="00000000" w:rsidRPr="00000000">
        <w:rPr>
          <w:rFonts w:ascii="Arial" w:cs="Arial" w:eastAsia="Arial" w:hAnsi="Arial"/>
          <w:b w:val="1"/>
          <w:bCs w:val="1"/>
          <w:rtl w:val="0"/>
        </w:rPr>
        <w:t xml:space="preserve">3-month driving licence suspension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600" w:firstLine="0"/>
        <w:rPr>
          <w:sz w:val="24"/>
          <w:szCs w:val="24"/>
          <w:vertAlign w:val="superscript"/>
        </w:rPr>
      </w:pPr>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Fuel Denial:</w:t>
      </w:r>
      <w:r w:rsidDel="00000000" w:rsidR="00000000" w:rsidRPr="00000000">
        <w:rPr>
          <w:rFonts w:ascii="Arial" w:cs="Arial" w:eastAsia="Arial" w:hAnsi="Arial"/>
          <w:rtl w:val="0"/>
        </w:rPr>
        <w:t xml:space="preserve"> The policy of denying fuel to non-compliant vehicles, currently implemented in Delhi, uses real-time registration data to link PUC status to refuelling permissions.</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This policy is a stringent implementation of the statutory requirement that unfit vehicles cannot ply on the roads, effectively enforcing the MV Act via logistical control.</w:t>
      </w: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LEGAL VALIDATION OF CONSTRUCTION, DEMOLITION, AND INDUSTRIAL CONTROLS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Construction and Industrial Holiday Mandate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proposal to enforce a Construction Holiday (Oct-Feb), ban diesel gensets, and shut down non-essential construction and specific industrial plants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is fully validated by statutory instruments and policy precedents.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foundational legal authority for industrial and construction shutdowns during environmental emergencies is </w:t>
      </w:r>
      <w:r w:rsidDel="00000000" w:rsidR="00000000" w:rsidRPr="00000000">
        <w:rPr>
          <w:rFonts w:ascii="Arial" w:cs="Arial" w:eastAsia="Arial" w:hAnsi="Arial"/>
          <w:b w:val="1"/>
          <w:bCs w:val="1"/>
          <w:rtl w:val="0"/>
        </w:rPr>
        <w:t xml:space="preserve">Section 5, Environment (Protection) Act, 1986</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This section provides the government with the power to regulate or prohibit any operation (see Section 2.1).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Operationally, these bans are implemented through the GRAP framework, where Stage IV mandates the closure of all C&amp;D activities, except where explicitly exempted by the CAQM.</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Furthermore, the general mandates for dust control—such as mechanical sweeping, sprinkling, and covering open construction materials with green cloth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—are codified in the Construction and Demolition Waste Management Rules, 2016.</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These rules reinforce the legal obligation to mitigate fugitive dust, which contributes significantly to PM2.5 levels.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Mandatory Economic Compensation for Affected Workers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crucial legal development has addressed the predicted political backlash arising from temporary revenue dips and worker disruption due to mandated shutdowns.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Supreme Court, in its ongoing monitoring of the </w:t>
      </w:r>
      <w:r w:rsidDel="00000000" w:rsidR="00000000" w:rsidRPr="00000000">
        <w:rPr>
          <w:rFonts w:ascii="Arial" w:cs="Arial" w:eastAsia="Arial" w:hAnsi="Arial"/>
          <w:i w:val="1"/>
          <w:iCs w:val="1"/>
          <w:rtl w:val="0"/>
        </w:rPr>
        <w:t xml:space="preserve">M.C. Mehta</w:t>
      </w:r>
      <w:r w:rsidDel="00000000" w:rsidR="00000000" w:rsidRPr="00000000">
        <w:rPr>
          <w:rFonts w:ascii="Arial" w:cs="Arial" w:eastAsia="Arial" w:hAnsi="Arial"/>
          <w:rtl w:val="0"/>
        </w:rPr>
        <w:t xml:space="preserve"> case, issued an order on </w:t>
      </w:r>
      <w:r w:rsidDel="00000000" w:rsidR="00000000" w:rsidRPr="00000000">
        <w:rPr>
          <w:rFonts w:ascii="Arial" w:cs="Arial" w:eastAsia="Arial" w:hAnsi="Arial"/>
          <w:b w:val="1"/>
          <w:bCs w:val="1"/>
          <w:rtl w:val="0"/>
        </w:rPr>
        <w:t xml:space="preserve">25.11.2024</w:t>
      </w:r>
      <w:r w:rsidDel="00000000" w:rsidR="00000000" w:rsidRPr="00000000">
        <w:rPr>
          <w:rFonts w:ascii="Arial" w:cs="Arial" w:eastAsia="Arial" w:hAnsi="Arial"/>
          <w:rtl w:val="0"/>
        </w:rPr>
        <w:t xml:space="preserve"> in </w:t>
      </w:r>
      <w:r w:rsidDel="00000000" w:rsidR="00000000" w:rsidRPr="00000000">
        <w:rPr>
          <w:rFonts w:ascii="Arial" w:cs="Arial" w:eastAsia="Arial" w:hAnsi="Arial"/>
          <w:b w:val="1"/>
          <w:bCs w:val="1"/>
          <w:rtl w:val="0"/>
        </w:rPr>
        <w:t xml:space="preserve">Writ Petition (Civil) No. 13029/1985</w:t>
      </w:r>
      <w:r w:rsidDel="00000000" w:rsidR="00000000" w:rsidRPr="00000000">
        <w:rPr>
          <w:rFonts w:ascii="Arial" w:cs="Arial" w:eastAsia="Arial" w:hAnsi="Arial"/>
          <w:rtl w:val="0"/>
        </w:rPr>
        <w:t xml:space="preserve"> that mandates social security provisions parallel to environmental restrictions.</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Direction:</w:t>
      </w:r>
      <w:r w:rsidDel="00000000" w:rsidR="00000000" w:rsidRPr="00000000">
        <w:rPr>
          <w:rFonts w:ascii="Arial" w:cs="Arial" w:eastAsia="Arial" w:hAnsi="Arial"/>
          <w:rtl w:val="0"/>
        </w:rPr>
        <w:t xml:space="preserve"> The Court directed all NCR States to utilize funds collected as </w:t>
      </w:r>
      <w:r w:rsidDel="00000000" w:rsidR="00000000" w:rsidRPr="00000000">
        <w:rPr>
          <w:rFonts w:ascii="Arial" w:cs="Arial" w:eastAsia="Arial" w:hAnsi="Arial"/>
          <w:b w:val="1"/>
          <w:bCs w:val="1"/>
          <w:rtl w:val="0"/>
        </w:rPr>
        <w:t xml:space="preserve">labour cess</w:t>
      </w:r>
      <w:r w:rsidDel="00000000" w:rsidR="00000000" w:rsidRPr="00000000">
        <w:rPr>
          <w:rFonts w:ascii="Arial" w:cs="Arial" w:eastAsia="Arial" w:hAnsi="Arial"/>
          <w:rtl w:val="0"/>
        </w:rPr>
        <w:t xml:space="preserve"> for the welfare of construction workers to provide them with a </w:t>
      </w:r>
      <w:r w:rsidDel="00000000" w:rsidR="00000000" w:rsidRPr="00000000">
        <w:rPr>
          <w:rFonts w:ascii="Arial" w:cs="Arial" w:eastAsia="Arial" w:hAnsi="Arial"/>
          <w:b w:val="1"/>
          <w:bCs w:val="1"/>
          <w:rtl w:val="0"/>
        </w:rPr>
        <w:t xml:space="preserve">weekly subsistence allowance</w:t>
      </w:r>
      <w:r w:rsidDel="00000000" w:rsidR="00000000" w:rsidRPr="00000000">
        <w:rPr>
          <w:rFonts w:ascii="Arial" w:cs="Arial" w:eastAsia="Arial" w:hAnsi="Arial"/>
          <w:rtl w:val="0"/>
        </w:rPr>
        <w:t xml:space="preserve"> during the periods when construction activities are prohibited under GRAP Stages III and IV.</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judicial mandate establishes a definitive precedent for ensuring that the socioeconomic burden of severe environmental enforcement is distributed fairly. It means the policy goal of providing temporary support to affected workers (EMCAP 5) is legally enforceable using a specific, existing ring-fenced fund (labour cess).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convergence of environmental justice and social equity is critical for maintaining public support during periods of high inconvenience.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6: LEGAL FRAMEWORK FOR CROP RESIDUE AND WASTE BURNING PREVENTION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Centralized Enforcement of Stubble Burning Penalties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problem of stubble burning, which requires complex coordination between Delhi and adjoining states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is legally managed by the CAQM Act, 2021, and continuous supervision by the Supreme Court.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CAQM Act provides the statutory basis for penalizing farmers who cause air pollution through crop residue burning. </w:t>
      </w:r>
      <w:r w:rsidDel="00000000" w:rsidR="00000000" w:rsidRPr="00000000">
        <w:rPr>
          <w:rFonts w:ascii="Arial" w:cs="Arial" w:eastAsia="Arial" w:hAnsi="Arial"/>
          <w:b w:val="1"/>
          <w:bCs w:val="1"/>
          <w:rtl w:val="0"/>
        </w:rPr>
        <w:t xml:space="preserve">Section 15 of the CAQM Act, 2021</w:t>
      </w:r>
      <w:r w:rsidDel="00000000" w:rsidR="00000000" w:rsidRPr="00000000">
        <w:rPr>
          <w:rFonts w:ascii="Arial" w:cs="Arial" w:eastAsia="Arial" w:hAnsi="Arial"/>
          <w:rtl w:val="0"/>
        </w:rPr>
        <w:t xml:space="preserve">, grants the Commission the power to impose and collect </w:t>
      </w:r>
      <w:r w:rsidDel="00000000" w:rsidR="00000000" w:rsidRPr="00000000">
        <w:rPr>
          <w:rFonts w:ascii="Arial" w:cs="Arial" w:eastAsia="Arial" w:hAnsi="Arial"/>
          <w:b w:val="1"/>
          <w:bCs w:val="1"/>
          <w:rtl w:val="0"/>
        </w:rPr>
        <w:t xml:space="preserve">environmental compensation</w:t>
      </w:r>
      <w:r w:rsidDel="00000000" w:rsidR="00000000" w:rsidRPr="00000000">
        <w:rPr>
          <w:rFonts w:ascii="Arial" w:cs="Arial" w:eastAsia="Arial" w:hAnsi="Arial"/>
          <w:rtl w:val="0"/>
        </w:rPr>
        <w:t xml:space="preserve"> from farmers.</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specific structure of these penalties is detailed in the </w:t>
      </w:r>
      <w:r w:rsidDel="00000000" w:rsidR="00000000" w:rsidRPr="00000000">
        <w:rPr>
          <w:rFonts w:ascii="Arial" w:cs="Arial" w:eastAsia="Arial" w:hAnsi="Arial"/>
          <w:b w:val="1"/>
          <w:bCs w:val="1"/>
          <w:rtl w:val="0"/>
        </w:rPr>
        <w:t xml:space="preserve">CAQM (Imposition, Collection and Utilization of Environmental Compensation for Stubble Burning) Rules, 2023</w:t>
      </w:r>
      <w:r w:rsidDel="00000000" w:rsidR="00000000" w:rsidRPr="00000000">
        <w:rPr>
          <w:rFonts w:ascii="Arial" w:cs="Arial" w:eastAsia="Arial" w:hAnsi="Arial"/>
          <w:rtl w:val="0"/>
        </w:rPr>
        <w:t xml:space="preserve">. These rules establish a tiered compensation structure based on the area of land involved: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Table: Environmental Compensation for Stubble Burning (CAQM Rules, 2023)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Land Holding Area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Environmental Compensation (Per Incidence)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Relevant Section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Less than two acres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15, CAQM Act </w:t>
            </w:r>
            <w:r w:rsidDel="00000000" w:rsidR="00000000" w:rsidRPr="00000000">
              <w:rPr>
                <w:rFonts w:ascii="Arial" w:cs="Arial" w:eastAsia="Arial" w:hAnsi="Arial"/>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More than two acres but less than five acres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15, CAQM Act </w:t>
            </w:r>
            <w:r w:rsidDel="00000000" w:rsidR="00000000" w:rsidRPr="00000000">
              <w:rPr>
                <w:rFonts w:ascii="Arial" w:cs="Arial" w:eastAsia="Arial" w:hAnsi="Arial"/>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More than five acres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15, CAQM Act </w:t>
            </w:r>
            <w:r w:rsidDel="00000000" w:rsidR="00000000" w:rsidRPr="00000000">
              <w:rPr>
                <w:rFonts w:ascii="Arial" w:cs="Arial" w:eastAsia="Arial" w:hAnsi="Arial"/>
                <w:sz w:val="24"/>
                <w:szCs w:val="24"/>
                <w:vertAlign w:val="superscript"/>
                <w:rtl w:val="0"/>
              </w:rPr>
              <w:t xml:space="preserve">19</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defined penalty structure provides a clear, uniform legal mechanism for enforcing the stubble burning controls proposed by EMCAP.</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Furthermore, the Supreme Court continues to exert robust oversight through the monitoring case </w:t>
      </w:r>
      <w:r w:rsidDel="00000000" w:rsidR="00000000" w:rsidRPr="00000000">
        <w:rPr>
          <w:rFonts w:ascii="Arial" w:cs="Arial" w:eastAsia="Arial" w:hAnsi="Arial"/>
          <w:i w:val="1"/>
          <w:iCs w:val="1"/>
          <w:rtl w:val="0"/>
        </w:rPr>
        <w:t xml:space="preserve">M.C Mehta v. Union of India</w:t>
      </w:r>
      <w:r w:rsidDel="00000000" w:rsidR="00000000" w:rsidRPr="00000000">
        <w:rPr>
          <w:rFonts w:ascii="Arial" w:cs="Arial" w:eastAsia="Arial" w:hAnsi="Arial"/>
          <w:rtl w:val="0"/>
        </w:rPr>
        <w:t xml:space="preserve"> (W.P. No.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13029/1985), issuing directions for compliance reports from Punjab and Haryana regarding farm fires as recently as October and November 2024.</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Enforcement actions have escalated beyond mere financial compensation to include the filing of criminal prosecutions under relevant statutes, such as </w:t>
      </w:r>
      <w:r w:rsidDel="00000000" w:rsidR="00000000" w:rsidRPr="00000000">
        <w:rPr>
          <w:rFonts w:ascii="Arial" w:cs="Arial" w:eastAsia="Arial" w:hAnsi="Arial"/>
          <w:b w:val="1"/>
          <w:bCs w:val="1"/>
          <w:rtl w:val="0"/>
        </w:rPr>
        <w:t xml:space="preserve">Section 14 of the CAQM Act, 2021</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Open Waste Burning and Legacy Waste Accountability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EMCAP measures advocating zero-tolerance for waste burning and immediate extinguishing by municipal teams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are consistent with existing environmental rules and severe judicial penalties.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Solid Waste Management Rules, 2016</w:t>
      </w:r>
      <w:r w:rsidDel="00000000" w:rsidR="00000000" w:rsidRPr="00000000">
        <w:rPr>
          <w:rFonts w:ascii="Arial" w:cs="Arial" w:eastAsia="Arial" w:hAnsi="Arial"/>
          <w:rtl w:val="0"/>
        </w:rPr>
        <w:t xml:space="preserve">, strictly prohibit the open burning of solid waste.</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Failure to manage waste scientifically and prevent open burning has resulted in massive financial penalties. The National Green Tribunal (NGT) has intervened repeatedly on waste management in Delhi. For instance, in relation to the legacy waste at the Ghazipur, Bhalswa, and Okhla dumpsites, the NGT imposed an Environmental Compensation of </w:t>
      </w:r>
      <w:r w:rsidDel="00000000" w:rsidR="00000000" w:rsidRPr="00000000">
        <w:rPr>
          <w:rFonts w:ascii="Arial" w:cs="Arial" w:eastAsia="Arial" w:hAnsi="Arial"/>
          <w:b w:val="1"/>
          <w:bCs w:val="1"/>
          <w:rtl w:val="0"/>
        </w:rPr>
        <w:t xml:space="preserve">₹900 Crores</w:t>
      </w:r>
      <w:r w:rsidDel="00000000" w:rsidR="00000000" w:rsidRPr="00000000">
        <w:rPr>
          <w:rFonts w:ascii="Arial" w:cs="Arial" w:eastAsia="Arial" w:hAnsi="Arial"/>
          <w:rtl w:val="0"/>
        </w:rPr>
        <w:t xml:space="preserve"> on the GNCTD for non-compliance with the SWM Rules, 2016.</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This precedent underscores that judicial bodies are prepared to impose hundreds of crores in penalties to enforce accountability for waste and open burning, validating the need for strict fines proposed in EMCAP.</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7: ECONOMIC INSTRUMENTS AND GOVERNANCE ACCOUNTABILITY</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Pollution Cess and Differential Pricing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proposal to increase diesel prices and implement differential pricing to incentivize cleaner vehicles (EMCAP 6, 7)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is directly justified by the </w:t>
      </w:r>
      <w:r w:rsidDel="00000000" w:rsidR="00000000" w:rsidRPr="00000000">
        <w:rPr>
          <w:rFonts w:ascii="Arial" w:cs="Arial" w:eastAsia="Arial" w:hAnsi="Arial"/>
          <w:b w:val="1"/>
          <w:bCs w:val="1"/>
          <w:rtl w:val="0"/>
        </w:rPr>
        <w:t xml:space="preserve">Polluter Pays Principle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Fiscal instruments for environmental protection are already established in India. Precedents include the Clean Energy Cess imposed on coal, lignite, and peat, introduced in 2010.</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Furthermore, state governments possess the legal authority under the Motor Vehicles Act, 1988, to levy differential registration fees or cess based on engine specifications and fuel type. Existing state regimes demonstrate differential tax rates, significantly higher for high-capacity diesel vehicles (e.g., up to ₹25,000 for certain diesel Light Motor Vehicles) compared to petrol counterparts.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This provides the legal mechanism to implement EMCAP's suggested increase in prices for polluting fuels and larger vehicles, using the revenue generated to cross-subsidize EV charging infrastructure, thereby ensuring sustainable transition finance.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Governance, Oversight, and Accountability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measures for strengthened governance (e.g., monthly PM-CM-Chief Secretary reviews, enhanced auditing, and police performance ranking)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leverage the existing high-level supervisory structure imposed by the CAQM and the Supreme Court. The CAQM ensures mandatory coordination between states and central ministries.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suggestion to strengthen municipal audits is timely, especially given the history of poor compliance resulting in the NGT’s massive penalties for solid waste management failure.</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The continued monitoring by the Supreme Court in W.P. 13029/1985 ensures that administrative compliance is not merely theoretical but subject to mandatory judicial review.</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8: LEGAL AND POLICY PRECEDENT SUMMARY TABLES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International Policy Precedents for Emergency Transport Restriction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stringent transport measures proposed by EMCAP, such as traffic rationing and charges on polluting vehicles, are based on globally validated policy examples. These precedents show that while the mechanisms are effective in achieving immediate reductions, their long-term success is contingent upon dedicated and strict enforcement.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Table: International Policy Precedents for Transport Restriction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Policy/Mechanism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Goal/Mechanism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Observed Impact (as per EMCAP document)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ULEZ (Ultra Low Emission Zone)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London, UK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Charging polluting vehicles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50% NO2 reduction in central areas since 2019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Low-Emission Zones &amp; Odd-Even Bans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Paris, France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Traffic restrictions (rationing)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Significant NO2 drops during enforcement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Hoy No Circula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Mexico City, Mexico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Vehicle rationing by license plate 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Initial reductions, but long-term results mixed due to weak enforcement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Exhaustive Legal and Judicial Validation of EMCAP Measures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table consolidates the specific legal references that provide authority and enforceability for the key measures proposed in the EMCAP document.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Table: Legal Validation of Emergency Measures (EMCAP)</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EMCAP Problem/Measure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Legal Precedent/Policy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Relevant Act/Judgement/Citation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Specific Section/Clause No. /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Constitutional Right to Clean 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Foundation of all environmental litigation and state duty.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Constitution of India (1950)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Article 21 </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Directive Power to Close Industry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Authority to regulate/close industries, operations, or cut services (water/electricity).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Environment (Protection) Act, 1986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5 </w:t>
            </w:r>
            <w:r w:rsidDel="00000000" w:rsidR="00000000" w:rsidRPr="00000000">
              <w:rPr>
                <w:rFonts w:ascii="Arial" w:cs="Arial" w:eastAsia="Arial" w:hAnsi="Arial"/>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Supreme Regulatory Authority in NCR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CAQM directions enforce GRAP and prevail over State Govts/CPCB.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CAQM Act, 2021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14 (Penal Provision) </w:t>
            </w:r>
            <w:r w:rsidDel="00000000" w:rsidR="00000000" w:rsidRPr="00000000">
              <w:rPr>
                <w:rFonts w:ascii="Arial" w:cs="Arial" w:eastAsia="Arial" w:hAnsi="Arial"/>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Vehicle Age Ban (10 YR Diesel/15 YR Petrol)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Prohibition on plying of old vehicles in NCR.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rtl w:val="0"/>
              </w:rPr>
              <w:t xml:space="preserve">SC Order dated 29.10.2018 in </w:t>
            </w:r>
            <w:r w:rsidDel="00000000" w:rsidR="00000000" w:rsidRPr="00000000">
              <w:rPr>
                <w:rFonts w:ascii="Arial" w:cs="Arial" w:eastAsia="Arial" w:hAnsi="Arial"/>
                <w:i w:val="1"/>
                <w:iCs w:val="1"/>
                <w:rtl w:val="0"/>
              </w:rPr>
              <w:t xml:space="preserve">M.C Mehta v. UOI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W.P. (Civil) No. 13029/1985 (Upholding NGT Order dated 07.04.2015) </w:t>
            </w:r>
            <w:r w:rsidDel="00000000" w:rsidR="00000000" w:rsidRPr="00000000">
              <w:rPr>
                <w:rFonts w:ascii="Arial" w:cs="Arial" w:eastAsia="Arial" w:hAnsi="Arial"/>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PUC Non-Compliance Penalty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Fine and license suspension for emission violations.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Motor Vehicles Act, 1988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190(2) </w:t>
            </w:r>
            <w:r w:rsidDel="00000000" w:rsidR="00000000" w:rsidRPr="00000000">
              <w:rPr>
                <w:rFonts w:ascii="Arial" w:cs="Arial" w:eastAsia="Arial" w:hAnsi="Arial"/>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Construction/Industrial Holiday (GRAP)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Prohibition enforced under GRAP severe stages.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rtl w:val="0"/>
              </w:rPr>
              <w:t xml:space="preserve">SC Approval of GRAP (2016) in </w:t>
            </w:r>
            <w:r w:rsidDel="00000000" w:rsidR="00000000" w:rsidRPr="00000000">
              <w:rPr>
                <w:rFonts w:ascii="Arial" w:cs="Arial" w:eastAsia="Arial" w:hAnsi="Arial"/>
                <w:i w:val="1"/>
                <w:iCs w:val="1"/>
                <w:rtl w:val="0"/>
              </w:rPr>
              <w:t xml:space="preserve">M.C. Mehta v. UOI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W.P. (Civil) No. 13029/1985 </w:t>
            </w:r>
            <w:r w:rsidDel="00000000" w:rsidR="00000000" w:rsidRPr="00000000">
              <w:rPr>
                <w:rFonts w:ascii="Arial" w:cs="Arial" w:eastAsia="Arial" w:hAnsi="Arial"/>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Compensation for Affected C&amp;D Workers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Mandatory welfare payment using dedicated funds during bans.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rPr>
                <w:rFonts w:ascii="Arial" w:cs="Arial" w:eastAsia="Arial" w:hAnsi="Arial"/>
                <w:rtl w:val="0"/>
              </w:rPr>
              <w:t xml:space="preserve">SC Order dated 25.11.2024 in </w:t>
            </w:r>
            <w:r w:rsidDel="00000000" w:rsidR="00000000" w:rsidRPr="00000000">
              <w:rPr>
                <w:rFonts w:ascii="Arial" w:cs="Arial" w:eastAsia="Arial" w:hAnsi="Arial"/>
                <w:i w:val="1"/>
                <w:iCs w:val="1"/>
                <w:rtl w:val="0"/>
              </w:rPr>
              <w:t xml:space="preserve">M.C. Mehta v. UOI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W.P. (Civil) No. 13029/1985 (Directing use of Labour Cess Funds) </w:t>
            </w:r>
            <w:r w:rsidDel="00000000" w:rsidR="00000000" w:rsidRPr="00000000">
              <w:rPr>
                <w:rFonts w:ascii="Arial" w:cs="Arial" w:eastAsia="Arial" w:hAnsi="Arial"/>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Stubble Burning Environmental Compensation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Imposition of specific, tiered financial penalties.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CAQM Act, 2021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15 and CAQM Rules, 2023 </w:t>
            </w:r>
            <w:r w:rsidDel="00000000" w:rsidR="00000000" w:rsidRPr="00000000">
              <w:rPr>
                <w:rFonts w:ascii="Arial" w:cs="Arial" w:eastAsia="Arial" w:hAnsi="Arial"/>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Roadside Dust/C&amp;D Material Ban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DPCC enforcement power to control fugitive dust sources.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Air (Prevention and Control of Pollution) Act, 1981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Section 31(A) </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Liability for Hazardous Operations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Strict liability for environmental damage caused by toxic industrial activity.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i w:val="1"/>
                <w:iCs w:val="1"/>
                <w:rtl w:val="0"/>
              </w:rPr>
              <w:t xml:space="preserve">M.C. Mehta v. Union of India</w:t>
            </w:r>
            <w:r w:rsidDel="00000000" w:rsidR="00000000" w:rsidRPr="00000000">
              <w:rPr>
                <w:rFonts w:ascii="Arial" w:cs="Arial" w:eastAsia="Arial" w:hAnsi="Arial"/>
                <w:rtl w:val="0"/>
              </w:rPr>
              <w:t xml:space="preserve"> (Oleum Gas Leak Case)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1987 SCR (1) 819; AIR 1987 965 </w:t>
            </w:r>
            <w:r w:rsidDel="00000000" w:rsidR="00000000" w:rsidRPr="00000000">
              <w:rPr>
                <w:rFonts w:ascii="Arial" w:cs="Arial" w:eastAsia="Arial" w:hAnsi="Arial"/>
                <w:sz w:val="24"/>
                <w:szCs w:val="24"/>
                <w:vertAlign w:val="superscript"/>
                <w:rtl w:val="0"/>
              </w:rPr>
              <w:t xml:space="preserve">6</w:t>
            </w:r>
          </w:p>
        </w:tc>
      </w:tr>
    </w:tbl>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Short.Term.pdf</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Right to Clean Environment | Article 21 of Constitution - Delhi Law ..., accessed December 17, 2025, </w:t>
      </w:r>
      <w:hyperlink r:id="rId7">
        <w:r w:rsidDel="00000000" w:rsidR="00000000" w:rsidRPr="00000000">
          <w:rPr>
            <w:rFonts w:ascii="Google Sans" w:cs="Google Sans" w:eastAsia="Google Sans" w:hAnsi="Google Sans"/>
            <w:color w:val="0000ee"/>
            <w:sz w:val="24"/>
            <w:szCs w:val="24"/>
            <w:u w:val="single"/>
            <w:rtl w:val="0"/>
          </w:rPr>
          <w:t xml:space="preserve">https://www.delhilawacademy.com/art-21-right-to-clean-environment/</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 Breath of Fresh Air: Indian Supreme Court Declares Protection ..., accessed December 17, 2025, </w:t>
      </w:r>
      <w:hyperlink r:id="rId8">
        <w:r w:rsidDel="00000000" w:rsidR="00000000" w:rsidRPr="00000000">
          <w:rPr>
            <w:rFonts w:ascii="Google Sans" w:cs="Google Sans" w:eastAsia="Google Sans" w:hAnsi="Google Sans"/>
            <w:color w:val="0000ee"/>
            <w:sz w:val="24"/>
            <w:szCs w:val="24"/>
            <w:u w:val="single"/>
            <w:rtl w:val="0"/>
          </w:rPr>
          <w:t xml:space="preserve">https://www.hhrjournal.org/2025/04/20/a-breath-of-fresh-air-indian-supreme-court-declares-protection-from-climate-change-a-fundamental-right/</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 legal outline on initiatives towards green tax, accessed December 17, 2025, </w:t>
      </w:r>
      <w:hyperlink r:id="rId9">
        <w:r w:rsidDel="00000000" w:rsidR="00000000" w:rsidRPr="00000000">
          <w:rPr>
            <w:rFonts w:ascii="Google Sans" w:cs="Google Sans" w:eastAsia="Google Sans" w:hAnsi="Google Sans"/>
            <w:color w:val="0000ee"/>
            <w:sz w:val="24"/>
            <w:szCs w:val="24"/>
            <w:u w:val="single"/>
            <w:rtl w:val="0"/>
          </w:rPr>
          <w:t xml:space="preserve">https://www.gift.res.in/wp-content/uploads/2024/09/A-Legal-Outline-on-Initiatives-Towards-Green-Tax_-Meenu-Mohan-1.pdf</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M.C. Mehta v. Union of India (1987) - theoryofabrogation, accessed December 17, 2025, </w:t>
      </w:r>
      <w:hyperlink r:id="rId10">
        <w:r w:rsidDel="00000000" w:rsidR="00000000" w:rsidRPr="00000000">
          <w:rPr>
            <w:rFonts w:ascii="Google Sans" w:cs="Google Sans" w:eastAsia="Google Sans" w:hAnsi="Google Sans"/>
            <w:color w:val="0000ee"/>
            <w:sz w:val="24"/>
            <w:szCs w:val="24"/>
            <w:u w:val="single"/>
            <w:rtl w:val="0"/>
          </w:rPr>
          <w:t xml:space="preserve">https://theoryofabrogation.com/m-c-mehta-v-union-of-india-1987/</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 C. Mehta v. Union of India - Wikipedia, accessed December 17, 2025, </w:t>
      </w:r>
      <w:hyperlink r:id="rId11">
        <w:r w:rsidDel="00000000" w:rsidR="00000000" w:rsidRPr="00000000">
          <w:rPr>
            <w:rFonts w:ascii="Google Sans" w:cs="Google Sans" w:eastAsia="Google Sans" w:hAnsi="Google Sans"/>
            <w:color w:val="0000ee"/>
            <w:sz w:val="24"/>
            <w:szCs w:val="24"/>
            <w:u w:val="single"/>
            <w:rtl w:val="0"/>
          </w:rPr>
          <w:t xml:space="preserve">https://en.wikipedia.org/wiki/M._C._Mehta_v._Union_of_India</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environment (protection) act, 1986, accessed December 17, 2025, </w:t>
      </w:r>
      <w:hyperlink r:id="rId12">
        <w:r w:rsidDel="00000000" w:rsidR="00000000" w:rsidRPr="00000000">
          <w:rPr>
            <w:rFonts w:ascii="Google Sans" w:cs="Google Sans" w:eastAsia="Google Sans" w:hAnsi="Google Sans"/>
            <w:color w:val="0000ee"/>
            <w:sz w:val="24"/>
            <w:szCs w:val="24"/>
            <w:u w:val="single"/>
            <w:rtl w:val="0"/>
          </w:rPr>
          <w:t xml:space="preserve">https://goaspcb.gov.in/wp-content/uploads/2025/03/Environment-and-Pollution-Laws.pdf</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Environment (Protection) Act, 1986 - iPleaders, accessed December 17, 2025, </w:t>
      </w:r>
      <w:hyperlink r:id="rId13">
        <w:r w:rsidDel="00000000" w:rsidR="00000000" w:rsidRPr="00000000">
          <w:rPr>
            <w:rFonts w:ascii="Google Sans" w:cs="Google Sans" w:eastAsia="Google Sans" w:hAnsi="Google Sans"/>
            <w:color w:val="0000ee"/>
            <w:sz w:val="24"/>
            <w:szCs w:val="24"/>
            <w:u w:val="single"/>
            <w:rtl w:val="0"/>
          </w:rPr>
          <w:t xml:space="preserve">https://blog.ipleaders.in/environment-protection-act-1986-2/</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Commission for Air Quality Management in National Capital ..., accessed December 17, 2025, </w:t>
      </w:r>
      <w:hyperlink r:id="rId14">
        <w:r w:rsidDel="00000000" w:rsidR="00000000" w:rsidRPr="00000000">
          <w:rPr>
            <w:rFonts w:ascii="Google Sans" w:cs="Google Sans" w:eastAsia="Google Sans" w:hAnsi="Google Sans"/>
            <w:color w:val="0000ee"/>
            <w:sz w:val="24"/>
            <w:szCs w:val="24"/>
            <w:u w:val="single"/>
            <w:rtl w:val="0"/>
          </w:rPr>
          <w:t xml:space="preserve">https://prsindia.org/billtrack/the-commission-for-air-quality-management-in-national-capital-region-and-adjoining-areas-bill-2021</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Graded Response Action Plan (GRAP) - PMF IAS, accessed December 17, 2025, </w:t>
      </w:r>
      <w:hyperlink r:id="rId15">
        <w:r w:rsidDel="00000000" w:rsidR="00000000" w:rsidRPr="00000000">
          <w:rPr>
            <w:rFonts w:ascii="Google Sans" w:cs="Google Sans" w:eastAsia="Google Sans" w:hAnsi="Google Sans"/>
            <w:color w:val="0000ee"/>
            <w:sz w:val="24"/>
            <w:szCs w:val="24"/>
            <w:u w:val="single"/>
            <w:rtl w:val="0"/>
          </w:rPr>
          <w:t xml:space="preserve">https://www.pmfias.com/graded-response-action-plan/</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‘Curb sale of bricks and sand roadside’, accessed December 17, 2025, </w:t>
      </w:r>
      <w:hyperlink r:id="rId16">
        <w:r w:rsidDel="00000000" w:rsidR="00000000" w:rsidRPr="00000000">
          <w:rPr>
            <w:rFonts w:ascii="Google Sans" w:cs="Google Sans" w:eastAsia="Google Sans" w:hAnsi="Google Sans"/>
            <w:color w:val="0000ee"/>
            <w:sz w:val="24"/>
            <w:szCs w:val="24"/>
            <w:u w:val="single"/>
            <w:rtl w:val="0"/>
          </w:rPr>
          <w:t xml:space="preserve">https://timesofindia.indiatimes.com/city/delhi/curb-sale-of-bricks-and-sand-roadside/articleshow/125896438.cms</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Ban on construction, 50% WFH for offices: GRAP-4 curbs activated in Delhi-NCR, accessed December 17, 2025, </w:t>
      </w:r>
      <w:hyperlink r:id="rId17">
        <w:r w:rsidDel="00000000" w:rsidR="00000000" w:rsidRPr="00000000">
          <w:rPr>
            <w:rFonts w:ascii="Google Sans" w:cs="Google Sans" w:eastAsia="Google Sans" w:hAnsi="Google Sans"/>
            <w:color w:val="0000ee"/>
            <w:sz w:val="24"/>
            <w:szCs w:val="24"/>
            <w:u w:val="single"/>
            <w:rtl w:val="0"/>
          </w:rPr>
          <w:t xml:space="preserve">https://www.indiatoday.in/india/story/grap-4-curbs-activated-in-delhi-ncr-as-aqi-crosses-450-check-key-restrictions-glbs-2835617-2025-12-14</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Life of Vehicles, accessed December 17, 2025, </w:t>
      </w:r>
      <w:hyperlink r:id="rId18">
        <w:r w:rsidDel="00000000" w:rsidR="00000000" w:rsidRPr="00000000">
          <w:rPr>
            <w:rFonts w:ascii="Google Sans" w:cs="Google Sans" w:eastAsia="Google Sans" w:hAnsi="Google Sans"/>
            <w:color w:val="0000ee"/>
            <w:sz w:val="24"/>
            <w:szCs w:val="24"/>
            <w:u w:val="single"/>
            <w:rtl w:val="0"/>
          </w:rPr>
          <w:t xml:space="preserve">https://www.pib.gov.in/PressReleasePage.aspx?PRID=1941044</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Circular 10 Years old Diesel Vehicles ... - Delhi Transport Department, accessed December 17, 2025, </w:t>
      </w:r>
      <w:hyperlink r:id="rId19">
        <w:r w:rsidDel="00000000" w:rsidR="00000000" w:rsidRPr="00000000">
          <w:rPr>
            <w:rFonts w:ascii="Google Sans" w:cs="Google Sans" w:eastAsia="Google Sans" w:hAnsi="Google Sans"/>
            <w:color w:val="0000ee"/>
            <w:sz w:val="24"/>
            <w:szCs w:val="24"/>
            <w:u w:val="single"/>
            <w:rtl w:val="0"/>
          </w:rPr>
          <w:t xml:space="preserve">https://transport.delhi.gov.in/sites/default/files/transport_data/Circular%2010%20Years%20old%20Diesel%20Vehicles%20and%20more%20then%2015%20Yearold%20Petrol%20Vehicles.pdf</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Delhi Fuel Ban: Rules on 10-Year Diesel, 15-Year Petrol Cars, accessed December 17, 2025, </w:t>
      </w:r>
      <w:hyperlink r:id="rId20">
        <w:r w:rsidDel="00000000" w:rsidR="00000000" w:rsidRPr="00000000">
          <w:rPr>
            <w:rFonts w:ascii="Google Sans" w:cs="Google Sans" w:eastAsia="Google Sans" w:hAnsi="Google Sans"/>
            <w:color w:val="0000ee"/>
            <w:sz w:val="24"/>
            <w:szCs w:val="24"/>
            <w:u w:val="single"/>
            <w:rtl w:val="0"/>
          </w:rPr>
          <w:t xml:space="preserve">https://www.iasgyan.in/daily-current-affairs/delhis-fuel-ban-for-old-vehicles-what-does-the-law-say</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What's the Fine for Failing Vehicle Pollution Test in India? - Ecozaar, accessed December 17, 2025, </w:t>
      </w:r>
      <w:hyperlink r:id="rId21">
        <w:r w:rsidDel="00000000" w:rsidR="00000000" w:rsidRPr="00000000">
          <w:rPr>
            <w:rFonts w:ascii="Google Sans" w:cs="Google Sans" w:eastAsia="Google Sans" w:hAnsi="Google Sans"/>
            <w:color w:val="0000ee"/>
            <w:sz w:val="24"/>
            <w:szCs w:val="24"/>
            <w:u w:val="single"/>
            <w:rtl w:val="0"/>
          </w:rPr>
          <w:t xml:space="preserve">https://ecozaar.in/blog/no-puc-fine-india-state-wise-guide/</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Construction &amp; Demolition Waste - Delhi Pollution Control Committee, accessed December 17, 2025, </w:t>
      </w:r>
      <w:hyperlink r:id="rId22">
        <w:r w:rsidDel="00000000" w:rsidR="00000000" w:rsidRPr="00000000">
          <w:rPr>
            <w:rFonts w:ascii="Google Sans" w:cs="Google Sans" w:eastAsia="Google Sans" w:hAnsi="Google Sans"/>
            <w:color w:val="0000ee"/>
            <w:sz w:val="24"/>
            <w:szCs w:val="24"/>
            <w:u w:val="single"/>
            <w:rtl w:val="0"/>
          </w:rPr>
          <w:t xml:space="preserve">https://dpcc.delhigovt.nic.in/construction_demolition_waste</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Compliance of Hon'ble Supreme Court's Otdet dated "..... that due to ..., accessed December 17, 2025, </w:t>
      </w:r>
      <w:hyperlink r:id="rId23">
        <w:r w:rsidDel="00000000" w:rsidR="00000000" w:rsidRPr="00000000">
          <w:rPr>
            <w:rFonts w:ascii="Google Sans" w:cs="Google Sans" w:eastAsia="Google Sans" w:hAnsi="Google Sans"/>
            <w:color w:val="0000ee"/>
            <w:sz w:val="24"/>
            <w:szCs w:val="24"/>
            <w:u w:val="single"/>
            <w:rtl w:val="0"/>
          </w:rPr>
          <w:t xml:space="preserve">https://caqm.nic.in/WriteReadData/LINKS/Order%20dated%2030112024798dab33-56ce-477f-9859-69119c90c6d7.pdf</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Commission for Air Quality Management in National Capital ..., accessed December 17, 2025, </w:t>
      </w:r>
      <w:hyperlink r:id="rId24">
        <w:r w:rsidDel="00000000" w:rsidR="00000000" w:rsidRPr="00000000">
          <w:rPr>
            <w:rFonts w:ascii="Google Sans" w:cs="Google Sans" w:eastAsia="Google Sans" w:hAnsi="Google Sans"/>
            <w:color w:val="0000ee"/>
            <w:sz w:val="24"/>
            <w:szCs w:val="24"/>
            <w:u w:val="single"/>
            <w:rtl w:val="0"/>
          </w:rPr>
          <w:t xml:space="preserve">https://sansad.in/getFile/rsnew/Committee_site/Committee_File/ReportFile/12/204/254_2025_2_11.pdf?source=rajyasabha</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1-4 2. | punjab in the WPC no.13029/1985 M.C 5-30, accessed December 17, 2025, </w:t>
      </w:r>
      <w:hyperlink r:id="rId25">
        <w:r w:rsidDel="00000000" w:rsidR="00000000" w:rsidRPr="00000000">
          <w:rPr>
            <w:rFonts w:ascii="Google Sans" w:cs="Google Sans" w:eastAsia="Google Sans" w:hAnsi="Google Sans"/>
            <w:color w:val="0000ee"/>
            <w:sz w:val="24"/>
            <w:szCs w:val="24"/>
            <w:u w:val="single"/>
            <w:rtl w:val="0"/>
          </w:rPr>
          <w:t xml:space="preserve">https://www.greentribunal.gov.in/sites/default/files/news_updates/Status%20Report%20of%20State%20of%20Punjab%20in%20OA%20NO%20632%20of%202023%20In%20re%20News%20item%20appearing%20in%20Hindu%20dated%2006.10.2023%20titled%20Pollution%20takes%20a%20front%20seat%20as%20stubble%20fires%20spike%20in%20Punjab.pdf</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BEFORE THE HON'BLE NATIONAL GREEN TRIBUNAL, NEW DELHI, accessed December 17, 2025, </w:t>
      </w:r>
      <w:hyperlink r:id="rId26">
        <w:r w:rsidDel="00000000" w:rsidR="00000000" w:rsidRPr="00000000">
          <w:rPr>
            <w:rFonts w:ascii="Google Sans" w:cs="Google Sans" w:eastAsia="Google Sans" w:hAnsi="Google Sans"/>
            <w:color w:val="0000ee"/>
            <w:sz w:val="24"/>
            <w:szCs w:val="24"/>
            <w:u w:val="single"/>
            <w:rtl w:val="0"/>
          </w:rPr>
          <w:t xml:space="preserve">https://www.greentribunal.gov.in/sites/default/files/news_updates/Affidavit%20of%20MS,%20PPCB%20in%20OA%20NO%20632%20of%202023%20(In%20re%20News%20item%20appearing%20in%20Hindu%20dated%2006.10.2023%20titled%20Pollution.pdf</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1. in view of the order dated 10.04.2023.. age:, accessed December 17, 2025, </w:t>
      </w:r>
      <w:hyperlink r:id="rId27">
        <w:r w:rsidDel="00000000" w:rsidR="00000000" w:rsidRPr="00000000">
          <w:rPr>
            <w:rFonts w:ascii="Google Sans" w:cs="Google Sans" w:eastAsia="Google Sans" w:hAnsi="Google Sans"/>
            <w:color w:val="0000ee"/>
            <w:sz w:val="24"/>
            <w:szCs w:val="24"/>
            <w:u w:val="single"/>
            <w:rtl w:val="0"/>
          </w:rPr>
          <w:t xml:space="preserve">https://www.greentribunal.gov.in/sites/default/files/news_updates/RESPONSE%20BY%20DPCC%20IN%20OA%20NO.%20531%20OF%202022%20(SHER%20SINGH%20DAGAR%20VS%20GOVT%20OF%20NCT%20OF%20DELHI).pdf</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Section Details - India Code, accessed December 17, 2025, </w:t>
      </w:r>
      <w:hyperlink r:id="rId28">
        <w:r w:rsidDel="00000000" w:rsidR="00000000" w:rsidRPr="00000000">
          <w:rPr>
            <w:rFonts w:ascii="Google Sans" w:cs="Google Sans" w:eastAsia="Google Sans" w:hAnsi="Google Sans"/>
            <w:color w:val="0000ee"/>
            <w:sz w:val="24"/>
            <w:szCs w:val="24"/>
            <w:u w:val="single"/>
            <w:rtl w:val="0"/>
          </w:rPr>
          <w:t xml:space="preserve">https://www.indiacode.nic.in/show-data?actid=AC_RJ_83_1146_00001_00001_1564046832055&amp;orderno=8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asgyan.in/daily-current-affairs/delhis-fuel-ban-for-old-vehicles-what-does-the-law-say" TargetMode="External"/><Relationship Id="rId22" Type="http://schemas.openxmlformats.org/officeDocument/2006/relationships/hyperlink" Target="https://dpcc.delhigovt.nic.in/construction_demolition_waste" TargetMode="External"/><Relationship Id="rId21" Type="http://schemas.openxmlformats.org/officeDocument/2006/relationships/hyperlink" Target="https://ecozaar.in/blog/no-puc-fine-india-state-wise-guide/" TargetMode="External"/><Relationship Id="rId24" Type="http://schemas.openxmlformats.org/officeDocument/2006/relationships/hyperlink" Target="https://sansad.in/getFile/rsnew/Committee_site/Committee_File/ReportFile/12/204/254_2025_2_11.pdf?source=rajyasabha" TargetMode="External"/><Relationship Id="rId23" Type="http://schemas.openxmlformats.org/officeDocument/2006/relationships/hyperlink" Target="https://caqm.nic.in/WriteReadData/LINKS/Order%20dated%2030112024798dab33-56ce-477f-9859-69119c90c6d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ift.res.in/wp-content/uploads/2024/09/A-Legal-Outline-on-Initiatives-Towards-Green-Tax_-Meenu-Mohan-1.pdf" TargetMode="External"/><Relationship Id="rId26" Type="http://schemas.openxmlformats.org/officeDocument/2006/relationships/hyperlink" Target="https://www.greentribunal.gov.in/sites/default/files/news_updates/Affidavit%20of%20MS,%20PPCB%20in%20OA%20NO%20632%20of%202023%20(In%20re%20News%20item%20appearing%20in%20Hindu%20dated%2006.10.2023%20titled%20Pollution.pdf" TargetMode="External"/><Relationship Id="rId25" Type="http://schemas.openxmlformats.org/officeDocument/2006/relationships/hyperlink" Target="https://www.greentribunal.gov.in/sites/default/files/news_updates/Status%20Report%20of%20State%20of%20Punjab%20in%20OA%20NO%20632%20of%202023%20In%20re%20News%20item%20appearing%20in%20Hindu%20dated%2006.10.2023%20titled%20Pollution%20takes%20a%20front%20seat%20as%20stubble%20fires%20spike%20in%20Punjab.pdf" TargetMode="External"/><Relationship Id="rId28" Type="http://schemas.openxmlformats.org/officeDocument/2006/relationships/hyperlink" Target="https://www.indiacode.nic.in/show-data?actid=AC_RJ_83_1146_00001_00001_1564046832055&amp;orderno=8" TargetMode="External"/><Relationship Id="rId27" Type="http://schemas.openxmlformats.org/officeDocument/2006/relationships/hyperlink" Target="https://www.greentribunal.gov.in/sites/default/files/news_updates/RESPONSE%20BY%20DPCC%20IN%20OA%20NO.%20531%20OF%202022%20(SHER%20SINGH%20DAGAR%20VS%20GOVT%20OF%20NCT%20OF%20DELHI).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elhilawacademy.com/art-21-right-to-clean-environment/" TargetMode="External"/><Relationship Id="rId8" Type="http://schemas.openxmlformats.org/officeDocument/2006/relationships/hyperlink" Target="https://www.hhrjournal.org/2025/04/20/a-breath-of-fresh-air-indian-supreme-court-declares-protection-from-climate-change-a-fundamental-right/" TargetMode="External"/><Relationship Id="rId11" Type="http://schemas.openxmlformats.org/officeDocument/2006/relationships/hyperlink" Target="https://en.wikipedia.org/wiki/M._C._Mehta_v._Union_of_India" TargetMode="External"/><Relationship Id="rId10" Type="http://schemas.openxmlformats.org/officeDocument/2006/relationships/hyperlink" Target="https://theoryofabrogation.com/m-c-mehta-v-union-of-india-1987/" TargetMode="External"/><Relationship Id="rId13" Type="http://schemas.openxmlformats.org/officeDocument/2006/relationships/hyperlink" Target="https://blog.ipleaders.in/environment-protection-act-1986-2/" TargetMode="External"/><Relationship Id="rId12" Type="http://schemas.openxmlformats.org/officeDocument/2006/relationships/hyperlink" Target="https://goaspcb.gov.in/wp-content/uploads/2025/03/Environment-and-Pollution-Laws.pdf" TargetMode="External"/><Relationship Id="rId15" Type="http://schemas.openxmlformats.org/officeDocument/2006/relationships/hyperlink" Target="https://www.pmfias.com/graded-response-action-plan/" TargetMode="External"/><Relationship Id="rId14" Type="http://schemas.openxmlformats.org/officeDocument/2006/relationships/hyperlink" Target="https://prsindia.org/billtrack/the-commission-for-air-quality-management-in-national-capital-region-and-adjoining-areas-bill-2021" TargetMode="External"/><Relationship Id="rId17" Type="http://schemas.openxmlformats.org/officeDocument/2006/relationships/hyperlink" Target="https://www.indiatoday.in/india/story/grap-4-curbs-activated-in-delhi-ncr-as-aqi-crosses-450-check-key-restrictions-glbs-2835617-2025-12-14" TargetMode="External"/><Relationship Id="rId16" Type="http://schemas.openxmlformats.org/officeDocument/2006/relationships/hyperlink" Target="https://timesofindia.indiatimes.com/city/delhi/curb-sale-of-bricks-and-sand-roadside/articleshow/125896438.cms" TargetMode="External"/><Relationship Id="rId19" Type="http://schemas.openxmlformats.org/officeDocument/2006/relationships/hyperlink" Target="https://transport.delhi.gov.in/sites/default/files/transport_data/Circular%2010%20Years%20old%20Diesel%20Vehicles%20and%20more%20then%2015%20Yearold%20Petrol%20Vehicles.pdf" TargetMode="External"/><Relationship Id="rId18" Type="http://schemas.openxmlformats.org/officeDocument/2006/relationships/hyperlink" Target="https://www.pib.gov.in/PressReleasePage.aspx?PRID=19410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0nLQ8nfPHTjLuzWLrbD/9cWaxg==">CgMxLjA4AHIhMXBjZUd3a0pJNzBTSko0VVpBMTF1aTRlT1pTZG5YSUxf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