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C:/Users/Willi/Desktop/Tom's example docs/URS_new_pump.docx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rPr>
          <w:b/>
        </w:rPr>
        <w:br/>
        <w:t>C:/Users/Willi/Desktop/Tom's example docs/SVeTR_new_pump.docx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C:/Users/Willi/Desktop/Tom's example docs/SVaTR_new_pump.docx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C:/Users/Willi/Desktop/Tom's example docs/SVaP_new_pump.docx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C:/Users/Willi/Desktop/Tom's example docs/HTP_new_pump.docx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 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 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 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 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C:/Users/Willi/Desktop/Tom's example docs/RiskAnalysis_Pump.docx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Parent Tag</w:t>
            </w:r>
          </w:p>
        </w:tc>
        <w:tc>
          <w:tcPr>
            <w:tcW w:type="dxa" w:w="4320"/>
          </w:tcPr>
          <w:p>
            <w:r>
              <w:t>Child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