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NFRS</w:t>
      </w:r>
      <w:r>
        <w:t xml:space="preserve"> </w:t>
      </w:r>
      <w:r>
        <w:t xml:space="preserve">S1</w:t>
      </w:r>
      <w:r>
        <w:t xml:space="preserve"> </w:t>
      </w:r>
      <w:r>
        <w:t xml:space="preserve">/</w:t>
      </w:r>
      <w:r>
        <w:t xml:space="preserve"> </w:t>
      </w:r>
      <w:r>
        <w:t xml:space="preserve">S2</w:t>
      </w:r>
      <w:r>
        <w:t xml:space="preserve"> </w:t>
      </w:r>
      <w:r>
        <w:t xml:space="preserve">—</w:t>
      </w:r>
      <w:r>
        <w:t xml:space="preserve"> </w:t>
      </w:r>
      <w:r>
        <w:t xml:space="preserve">Gap</w:t>
      </w:r>
      <w:r>
        <w:t xml:space="preserve"> </w:t>
      </w:r>
      <w:r>
        <w:t xml:space="preserve">Analysis</w:t>
      </w:r>
    </w:p>
    <w:p>
      <w:pPr>
        <w:pStyle w:val="Subtitle"/>
      </w:pP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standards</w:t>
      </w:r>
      <w:r>
        <w:t xml:space="preserve"> </w:t>
      </w:r>
      <w:r>
        <w:t xml:space="preserve">require,</w:t>
      </w:r>
      <w:r>
        <w:t xml:space="preserve"> </w:t>
      </w:r>
      <w:r>
        <w:t xml:space="preserve">what</w:t>
      </w:r>
      <w:r>
        <w:t xml:space="preserve"> </w:t>
      </w:r>
      <w:r>
        <w:t xml:space="preserve">the</w:t>
      </w:r>
      <w:r>
        <w:t xml:space="preserve"> </w:t>
      </w:r>
      <w:r>
        <w:t xml:space="preserve">platform</w:t>
      </w:r>
      <w:r>
        <w:t xml:space="preserve"> </w:t>
      </w:r>
      <w:r>
        <w:t xml:space="preserve">produces,</w:t>
      </w:r>
      <w:r>
        <w:t xml:space="preserve"> </w:t>
      </w:r>
      <w:r>
        <w:t xml:space="preserve">and</w:t>
      </w:r>
      <w:r>
        <w:t xml:space="preserve"> </w:t>
      </w:r>
      <w:r>
        <w:t xml:space="preserve">what</w:t>
      </w:r>
      <w:r>
        <w:t xml:space="preserve"> </w:t>
      </w:r>
      <w:r>
        <w:t xml:space="preserve">is</w:t>
      </w:r>
      <w:r>
        <w:t xml:space="preserve"> </w:t>
      </w:r>
      <w:r>
        <w:t xml:space="preserve">missing</w:t>
      </w:r>
    </w:p>
    <w:p>
      <w:pPr>
        <w:pStyle w:val="Author"/>
      </w:pPr>
      <w:r>
        <w:t xml:space="preserve">Jana</w:t>
      </w:r>
      <w:r>
        <w:t xml:space="preserve"> </w:t>
      </w:r>
      <w:r>
        <w:t xml:space="preserve">Earth</w:t>
      </w:r>
      <w:r>
        <w:t xml:space="preserve"> </w:t>
      </w:r>
      <w:r>
        <w:t xml:space="preserve">Data</w:t>
      </w:r>
    </w:p>
    <w:p>
      <w:pPr>
        <w:pStyle w:val="Date"/>
      </w:pPr>
      <w:r>
        <w:t xml:space="preserve">18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</w:rPr>
        <w:t xml:space="preserve">INTERNAL</w:t>
      </w:r>
    </w:p>
    <w:p>
      <w:pPr>
        <w:pStyle w:val="BodyText"/>
      </w:pPr>
      <w:r>
        <w:rPr>
          <w:i/>
        </w:rPr>
        <w:t xml:space="preserve">Assessed against the NFRS S1 and NFRS S2 exposure drafts published by ASB Nepal on 7 April 2026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docs/regulatory-sources/03-nfrs-icann/</w:t>
      </w:r>
      <w:r>
        <w:rPr>
          <w:i/>
        </w:rPr>
        <w:t xml:space="preserve">), read in full, and against the platform as it stands on</w:t>
      </w:r>
      <w:r>
        <w:rPr>
          <w:i/>
        </w:rPr>
        <w:t xml:space="preserve"> </w:t>
      </w:r>
      <w:r>
        <w:rPr>
          <w:i/>
        </w:rPr>
        <w:t xml:space="preserve">branch</w:t>
      </w:r>
      <w:r>
        <w:rPr>
          <w:i/>
        </w:rPr>
        <w:t xml:space="preserve"> </w:t>
      </w:r>
      <w:r>
        <w:rPr>
          <w:rStyle w:val="VerbatimChar"/>
          <w:i/>
        </w:rPr>
        <w:t xml:space="preserve">feature/20260907_1</w:t>
      </w:r>
      <w:r>
        <w:rPr>
          <w:i/>
        </w:rPr>
        <w:t xml:space="preserve">. Paragraph citations are the standards’ own. Code citations are file:line.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the-finding-that-reframes-the-question"/>
      <w:r>
        <w:t xml:space="preserve">1. The finding that reframes the question</w:t>
      </w:r>
      <w:bookmarkEnd w:id="20"/>
    </w:p>
    <w:p>
      <w:pPr>
        <w:pStyle w:val="FirstParagraph"/>
      </w:pPr>
      <w:r>
        <w:rPr>
          <w:b/>
        </w:rPr>
        <w:t xml:space="preserve">NFRS S1 and S2 are IFRS S1 and S2 with terminology substituted.</w:t>
      </w:r>
      <w:r>
        <w:t xml:space="preserve"> </w:t>
      </w:r>
      <w:r>
        <w:t xml:space="preserve">There is no meaningful</w:t>
      </w:r>
      <w:r>
        <w:t xml:space="preserve"> </w:t>
      </w:r>
      <w:r>
        <w:t xml:space="preserve">Nepal-specific divergence to analyse.</w:t>
      </w:r>
    </w:p>
    <w:p>
      <w:pPr>
        <w:numPr>
          <w:ilvl w:val="0"/>
          <w:numId w:val="1001"/>
        </w:numPr>
        <w:pStyle w:val="Compact"/>
      </w:pPr>
      <w:r>
        <w:t xml:space="preserve">Paragraph architecture is identical: S1 is</w:t>
      </w:r>
      <w:r>
        <w:t xml:space="preserve"> </w:t>
      </w:r>
      <w:r>
        <w:t xml:space="preserve">“</w:t>
      </w:r>
      <w:r>
        <w:t xml:space="preserve">set out in paragraphs 1–86 and Appendices A–E</w:t>
      </w:r>
      <w:r>
        <w:t xml:space="preserve">”</w:t>
      </w:r>
      <w:r>
        <w:t xml:space="preserve">, S2 in</w:t>
      </w:r>
      <w:r>
        <w:t xml:space="preserve"> </w:t>
      </w:r>
      <w:r>
        <w:t xml:space="preserve">“</w:t>
      </w:r>
      <w:r>
        <w:t xml:space="preserve">paragraphs 1–37 and Appendices A–C</w:t>
      </w:r>
      <w:r>
        <w:t xml:space="preserve">”</w:t>
      </w:r>
      <w:r>
        <w:t xml:space="preserve"> </w:t>
      </w:r>
      <w:r>
        <w:t xml:space="preserve">— the same as the IFRS originals, heading for heading.</w:t>
      </w:r>
    </w:p>
    <w:p>
      <w:pPr>
        <w:numPr>
          <w:ilvl w:val="0"/>
          <w:numId w:val="1001"/>
        </w:numPr>
        <w:pStyle w:val="Compact"/>
      </w:pPr>
      <w:r>
        <w:t xml:space="preserve">The word</w:t>
      </w:r>
      <w:r>
        <w:t xml:space="preserve"> </w:t>
      </w:r>
      <w:r>
        <w:t xml:space="preserve">“</w:t>
      </w:r>
      <w:r>
        <w:t xml:space="preserve">IFRS</w:t>
      </w:r>
      <w:r>
        <w:t xml:space="preserve">”</w:t>
      </w:r>
      <w:r>
        <w:t xml:space="preserve"> </w:t>
      </w:r>
      <w:r>
        <w:t xml:space="preserve">appears eight times in each PDF,</w:t>
      </w:r>
      <w:r>
        <w:t xml:space="preserve"> </w:t>
      </w:r>
      <w:r>
        <w:rPr>
          <w:b/>
        </w:rPr>
        <w:t xml:space="preserve">all of them in the Preface and the chairman’s</w:t>
      </w:r>
      <w:r>
        <w:rPr>
          <w:b/>
        </w:rPr>
        <w:t xml:space="preserve"> </w:t>
      </w:r>
      <w:r>
        <w:rPr>
          <w:b/>
        </w:rPr>
        <w:t xml:space="preserve">messages. Zero occurrences in the operative text.</w:t>
      </w:r>
    </w:p>
    <w:p>
      <w:pPr>
        <w:numPr>
          <w:ilvl w:val="0"/>
          <w:numId w:val="1001"/>
        </w:numPr>
        <w:pStyle w:val="Compact"/>
      </w:pPr>
      <w:r>
        <w:t xml:space="preserve">The substitutions are mechanical:</w:t>
      </w:r>
      <w:r>
        <w:t xml:space="preserve"> </w:t>
      </w:r>
      <w:r>
        <w:rPr>
          <w:i/>
        </w:rPr>
        <w:t xml:space="preserve">IFRS Sustainability Disclosure Standards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Nepal Sustainability</w:t>
      </w:r>
      <w:r>
        <w:rPr>
          <w:i/>
        </w:rPr>
        <w:t xml:space="preserve"> </w:t>
      </w:r>
      <w:r>
        <w:rPr>
          <w:i/>
        </w:rPr>
        <w:t xml:space="preserve">Disclosure Standards</w:t>
      </w:r>
      <w:r>
        <w:t xml:space="preserve">;</w:t>
      </w:r>
      <w:r>
        <w:t xml:space="preserve"> </w:t>
      </w:r>
      <w:r>
        <w:rPr>
          <w:i/>
        </w:rPr>
        <w:t xml:space="preserve">ISSB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ASB Nepal</w:t>
      </w:r>
      <w:r>
        <w:t xml:space="preserve">;</w:t>
      </w:r>
      <w:r>
        <w:t xml:space="preserve"> </w:t>
      </w:r>
      <w:r>
        <w:rPr>
          <w:i/>
        </w:rPr>
        <w:t xml:space="preserve">IFRS Accounting Standards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NFRS Accounting</w:t>
      </w:r>
      <w:r>
        <w:rPr>
          <w:i/>
        </w:rPr>
        <w:t xml:space="preserve"> </w:t>
      </w:r>
      <w:r>
        <w:rPr>
          <w:i/>
        </w:rPr>
        <w:t xml:space="preserve">Standards</w:t>
      </w:r>
      <w:r>
        <w:t xml:space="preserve">;</w:t>
      </w:r>
      <w:r>
        <w:t xml:space="preserve"> </w:t>
      </w:r>
      <w:r>
        <w:rPr>
          <w:i/>
        </w:rPr>
        <w:t xml:space="preserve">Industry-based Guidance on Implementing IFRS S2</w:t>
      </w:r>
      <w:r>
        <w:t xml:space="preserve"> </w:t>
      </w:r>
      <w:r>
        <w:t xml:space="preserve">→</w:t>
      </w:r>
      <w:r>
        <w:t xml:space="preserve"> </w:t>
      </w:r>
      <w:r>
        <w:rPr>
          <w:i/>
        </w:rPr>
        <w:t xml:space="preserve">…NFRS S2</w:t>
      </w:r>
      <w:r>
        <w:t xml:space="preserve">.</w:t>
      </w:r>
    </w:p>
    <w:p>
      <w:pPr>
        <w:pStyle w:val="FirstParagraph"/>
      </w:pPr>
      <w:r>
        <w:t xml:space="preserve">Everything a small market might have been expected to localise was left verbatim: SASB Standards remain</w:t>
      </w:r>
      <w:r>
        <w:t xml:space="preserve"> </w:t>
      </w:r>
      <w:r>
        <w:t xml:space="preserve">a mandatory reference point (S1 §55(a), §58(a), §59(a)); GICS 6-digit codes remain mandatory for</w:t>
      </w:r>
      <w:r>
        <w:t xml:space="preserve"> </w:t>
      </w:r>
      <w:r>
        <w:t xml:space="preserve">financed-emissions disaggregation (S2 B62(a)(i)); GHG Protocol 2004 and the Scope 3 Standard 2011 remain</w:t>
      </w:r>
      <w:r>
        <w:t xml:space="preserve"> </w:t>
      </w:r>
      <w:r>
        <w:t xml:space="preserve">the measurement basis; Appendix C still points at GRI and the European standards.</w:t>
      </w:r>
    </w:p>
    <w:p>
      <w:pPr>
        <w:pStyle w:val="BodyText"/>
      </w:pPr>
      <w:r>
        <w:rPr>
          <w:b/>
        </w:rPr>
        <w:t xml:space="preserve">No Nepal regulatory instrument is cited anywhere in the operative text.</w:t>
      </w:r>
      <w:r>
        <w:t xml:space="preserve"> </w:t>
      </w:r>
      <w:r>
        <w:t xml:space="preserve">Zero hits across both PDFs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PCAF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ESRM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taxonomy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Green Finance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Nepal Rastra</w:t>
      </w:r>
      <w:r>
        <w:t xml:space="preserve">”</w:t>
      </w:r>
      <w:r>
        <w:t xml:space="preserve"> </w:t>
      </w:r>
      <w:r>
        <w:t xml:space="preserve">appears once per document, in the</w:t>
      </w:r>
      <w:r>
        <w:t xml:space="preserve"> </w:t>
      </w:r>
      <w:r>
        <w:t xml:space="preserve">Preface list of committee members. The NRB ESRM Guideline and the Green Finance Taxonomy do not appear.</w:t>
      </w:r>
    </w:p>
    <w:p>
      <w:pPr>
        <w:pStyle w:val="BodyText"/>
      </w:pPr>
      <w:r>
        <w:t xml:space="preserve">So the gap worth measuring is</w:t>
      </w:r>
      <w:r>
        <w:t xml:space="preserve"> </w:t>
      </w:r>
      <w:r>
        <w:rPr>
          <w:b/>
        </w:rPr>
        <w:t xml:space="preserve">platform against the standard</w:t>
      </w:r>
      <w:r>
        <w:t xml:space="preserve">, not NFRS against IFRS.</w:t>
      </w:r>
    </w:p>
    <w:p>
      <w:pPr>
        <w:pStyle w:val="Heading2"/>
      </w:pPr>
      <w:bookmarkStart w:id="21" w:name="X08c7812559f2525e53722bec582bfe735eafbf7"/>
      <w:r>
        <w:t xml:space="preserve">1.1 Two facts we should stop getting wrong in our own materials</w:t>
      </w:r>
      <w:bookmarkEnd w:id="21"/>
    </w:p>
    <w:p>
      <w:pPr>
        <w:pStyle w:val="FirstParagraph"/>
      </w:pPr>
      <w:r>
        <w:rPr>
          <w:b/>
        </w:rPr>
        <w:t xml:space="preserve">There is no effective date.</w:t>
      </w:r>
      <w:r>
        <w:t xml:space="preserve"> </w:t>
      </w:r>
      <w:r>
        <w:t xml:space="preserve">S1 Appendix E, paragraph E1 and S2 Appendix C, paragraph C1 both read:</w:t>
      </w:r>
    </w:p>
    <w:p>
      <w:pPr>
        <w:pStyle w:val="BlockText"/>
      </w:pPr>
      <w:r>
        <w:t xml:space="preserve">“</w:t>
      </w:r>
      <w:r>
        <w:t xml:space="preserve">An entity shall apply this Standard for annual reporting periods beginning on or after</w:t>
      </w:r>
      <w:r>
        <w:t xml:space="preserve"> </w:t>
      </w:r>
      <w:r>
        <w:rPr>
          <w:b/>
        </w:rPr>
        <w:t xml:space="preserve">XX XX 202X</w:t>
      </w:r>
      <w:r>
        <w:t xml:space="preserve">.</w:t>
      </w:r>
      <w:r>
        <w:t xml:space="preserve">”</w:t>
      </w:r>
    </w:p>
    <w:p>
      <w:pPr>
        <w:pStyle w:val="FirstParagraph"/>
      </w:pPr>
      <w:r>
        <w:t xml:space="preserve">The placeholder is unfilled in both drafts. Any statement that NFRS S1/S2 is mandatory, or mandatory from</w:t>
      </w:r>
      <w:r>
        <w:t xml:space="preserve"> </w:t>
      </w:r>
      <w:r>
        <w:t xml:space="preserve">a particular year, is unsupported by these documents.</w:t>
      </w:r>
    </w:p>
    <w:p>
      <w:pPr>
        <w:pStyle w:val="BodyText"/>
      </w:pPr>
      <w:r>
        <w:rPr>
          <w:b/>
        </w:rPr>
        <w:t xml:space="preserve">The standards do not say who must apply them.</w:t>
      </w:r>
      <w:r>
        <w:t xml:space="preserve"> </w:t>
      </w:r>
      <w:r>
        <w:t xml:space="preserve">S1 §§5–9 describe how the Standard is applied by an</w:t>
      </w:r>
      <w:r>
        <w:t xml:space="preserve"> </w:t>
      </w:r>
      <w:r>
        <w:t xml:space="preserve">entity applying it; they assert no scope over any population of entities. Mandated applicability will</w:t>
      </w:r>
      <w:r>
        <w:t xml:space="preserve"> </w:t>
      </w:r>
      <w:r>
        <w:t xml:space="preserve">come from NRB, SEBON or the Nepal Insurance Authority, or from the final ASB Nepal pronouncement. Our</w:t>
      </w:r>
      <w:r>
        <w:t xml:space="preserve"> </w:t>
      </w:r>
      <w:r>
        <w:t xml:space="preserve">internal research note claims</w:t>
      </w:r>
      <w:r>
        <w:t xml:space="preserve"> </w:t>
      </w:r>
      <w:r>
        <w:t xml:space="preserve">“</w:t>
      </w:r>
      <w:r>
        <w:t xml:space="preserve">on the face of the standards, every reporting entity in Nepal is in</w:t>
      </w:r>
      <w:r>
        <w:t xml:space="preserve"> </w:t>
      </w:r>
      <w:r>
        <w:t xml:space="preserve">scope</w:t>
      </w:r>
      <w:r>
        <w:t xml:space="preserve">”</w:t>
      </w:r>
      <w:r>
        <w:t xml:space="preserve"> </w:t>
      </w:r>
      <w:r>
        <w:t xml:space="preserve">— that is an over-read and should be corrected.</w:t>
      </w:r>
    </w:p>
    <w:p>
      <w:pPr>
        <w:pStyle w:val="Heading2"/>
      </w:pPr>
      <w:bookmarkStart w:id="22" w:name="Xb8d1a38bcfb785323b8b59bee4d47a8f272c243"/>
      <w:r>
        <w:t xml:space="preserve">1.2 A live defect in the standards themselves</w:t>
      </w:r>
      <w:bookmarkEnd w:id="22"/>
    </w:p>
    <w:p>
      <w:pPr>
        <w:pStyle w:val="FirstParagraph"/>
      </w:pPr>
      <w:r>
        <w:t xml:space="preserve">S2 §12, §23 and §32 each contain a</w:t>
      </w:r>
      <w:r>
        <w:t xml:space="preserve"> </w:t>
      </w:r>
      <w:r>
        <w:t xml:space="preserve">“</w:t>
      </w:r>
      <w:r>
        <w:t xml:space="preserve">shall refer to and consider the applicability of</w:t>
      </w:r>
      <w:r>
        <w:t xml:space="preserve">”</w:t>
      </w:r>
      <w:r>
        <w:t xml:space="preserve"> </w:t>
      </w:r>
      <w:r>
        <w:t xml:space="preserve">obligation</w:t>
      </w:r>
      <w:r>
        <w:t xml:space="preserve"> </w:t>
      </w:r>
      <w:r>
        <w:t xml:space="preserve">pointing at the</w:t>
      </w:r>
      <w:r>
        <w:t xml:space="preserve"> </w:t>
      </w:r>
      <w:r>
        <w:rPr>
          <w:i/>
        </w:rPr>
        <w:t xml:space="preserve">Industry-based Guidance on Implementing NFRS S2</w:t>
      </w:r>
      <w:r>
        <w:t xml:space="preserve">.</w:t>
      </w:r>
      <w:r>
        <w:t xml:space="preserve"> </w:t>
      </w:r>
      <w:r>
        <w:rPr>
          <w:b/>
        </w:rPr>
        <w:t xml:space="preserve">ASB Nepal has not published that</w:t>
      </w:r>
      <w:r>
        <w:rPr>
          <w:b/>
        </w:rPr>
        <w:t xml:space="preserve"> </w:t>
      </w:r>
      <w:r>
        <w:rPr>
          <w:b/>
        </w:rPr>
        <w:t xml:space="preserve">document.</w:t>
      </w:r>
      <w:r>
        <w:t xml:space="preserve"> </w:t>
      </w:r>
      <w:r>
        <w:t xml:space="preserve">Three mandatory reference obligations are currently unsatisfiable. Worth raising with NRB</w:t>
      </w:r>
      <w:r>
        <w:t xml:space="preserve"> </w:t>
      </w:r>
      <w:r>
        <w:t xml:space="preserve">or IFC — the formal comment window closed 6 June 2026.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Xc141f5395d401fb52d0add8a0215b93253c9d70"/>
      <w:r>
        <w:t xml:space="preserve">2. Financed emissions — the one paragraph we address</w:t>
      </w:r>
      <w:bookmarkEnd w:id="23"/>
    </w:p>
    <w:p>
      <w:pPr>
        <w:pStyle w:val="FirstParagraph"/>
      </w:pPr>
      <w:r>
        <w:t xml:space="preserve">For a commercial bank the operative requirement is</w:t>
      </w:r>
      <w:r>
        <w:t xml:space="preserve"> </w:t>
      </w:r>
      <w:r>
        <w:rPr>
          <w:b/>
        </w:rPr>
        <w:t xml:space="preserve">S2 §29(a)(vi)(2) and B62</w:t>
      </w:r>
      <w:r>
        <w:t xml:space="preserve">. This is the whole of</w:t>
      </w:r>
      <w:r>
        <w:t xml:space="preserve"> </w:t>
      </w:r>
      <w:r>
        <w:t xml:space="preserve">our current disclosure claim, and we satisfy part of it.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B62 requires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Platform produces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</w:t>
            </w:r>
            <w:r>
              <w:t xml:space="preserve"> </w:t>
            </w:r>
            <w:r>
              <w:t xml:space="preserve">Absolute gross financed emissions</w:t>
            </w:r>
            <w:r>
              <w:t xml:space="preserve"> </w:t>
            </w:r>
            <w:r>
              <w:rPr>
                <w:b/>
              </w:rPr>
              <w:t xml:space="preserve">disaggregated by Scope 1, 2 and 3, for each industry by asset class</w:t>
            </w:r>
          </w:p>
        </w:tc>
        <w:tc>
          <w:p>
            <w:pPr>
              <w:pStyle w:val="Compact"/>
              <w:jc w:val="left"/>
            </w:pPr>
            <w:r>
              <w:t xml:space="preserve">A single portfolio total (</w:t>
            </w:r>
            <w:r>
              <w:rPr>
                <w:rStyle w:val="VerbatimChar"/>
              </w:rPr>
              <w:t xml:space="preserve">portfolio.ts:510</w:t>
            </w:r>
            <w:r>
              <w:t xml:space="preserve">); a top-8 sector bar chart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Major gap.</w:t>
            </w:r>
            <w:r>
              <w:t xml:space="preserve"> </w:t>
            </w:r>
            <w:r>
              <w:t xml:space="preserve">No scope split, no industry × asset-class matrix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(a)(i)</w:t>
            </w:r>
            <w:r>
              <w:t xml:space="preserve"> </w:t>
            </w:r>
            <w:r>
              <w:t xml:space="preserve">Industry classified by</w:t>
            </w:r>
            <w:r>
              <w:t xml:space="preserve"> </w:t>
            </w:r>
            <w:r>
              <w:rPr>
                <w:b/>
              </w:rPr>
              <w:t xml:space="preserve">GICS 6-digit code</w:t>
            </w:r>
            <w:r>
              <w:t xml:space="preserve">, latest version at reporting date</w:t>
            </w:r>
          </w:p>
        </w:tc>
        <w:tc>
          <w:p>
            <w:pPr>
              <w:pStyle w:val="Compact"/>
              <w:jc w:val="left"/>
            </w:pPr>
            <w:r>
              <w:t xml:space="preserve">NRB sector classification. GICS appears nowhere in the codebase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met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(a)(ii)</w:t>
            </w:r>
            <w:r>
              <w:t xml:space="preserve"> </w:t>
            </w:r>
            <w:r>
              <w:t xml:space="preserve">Asset classes</w:t>
            </w:r>
            <w:r>
              <w:t xml:space="preserve"> </w:t>
            </w:r>
            <w:r>
              <w:rPr>
                <w:b/>
              </w:rPr>
              <w:t xml:space="preserve">shall include</w:t>
            </w:r>
            <w:r>
              <w:t xml:space="preserve"> </w:t>
            </w:r>
            <w:r>
              <w:t xml:space="preserve">loans, project finance, bonds, equity,</w:t>
            </w:r>
            <w:r>
              <w:t xml:space="preserve"> </w:t>
            </w:r>
            <w:r>
              <w:rPr>
                <w:b/>
              </w:rPr>
              <w:t xml:space="preserve">undrawn loan commitments</w:t>
            </w:r>
          </w:p>
        </w:tc>
        <w:tc>
          <w:p>
            <w:pPr>
              <w:pStyle w:val="Compact"/>
              <w:jc w:val="left"/>
            </w:pPr>
            <w:r>
              <w:t xml:space="preserve">Ten PCAF classes declared (</w:t>
            </w:r>
            <w:r>
              <w:rPr>
                <w:rStyle w:val="VerbatimChar"/>
              </w:rPr>
              <w:t xml:space="preserve">pcaf/types.ts:24</w:t>
            </w:r>
            <w:r>
              <w:t xml:space="preserve">) but only five reachable, and only two traverse the option ladder (</w:t>
            </w:r>
            <w:r>
              <w:rPr>
                <w:rStyle w:val="VerbatimChar"/>
              </w:rPr>
              <w:t xml:space="preserve">scoring.ts:72–102, 298</w:t>
            </w:r>
            <w:r>
              <w:t xml:space="preserve">). Undrawn commitments absent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(b)</w:t>
            </w:r>
            <w:r>
              <w:t xml:space="preserve"> </w:t>
            </w:r>
            <w:r>
              <w:rPr>
                <w:b/>
              </w:rPr>
              <w:t xml:space="preserve">Gross exposure</w:t>
            </w:r>
            <w:r>
              <w:t xml:space="preserve"> </w:t>
            </w:r>
            <w:r>
              <w:t xml:space="preserve">per industry per asset class, funded carrying amount</w:t>
            </w:r>
            <w:r>
              <w:t xml:space="preserve"> </w:t>
            </w:r>
            <w:r>
              <w:rPr>
                <w:b/>
              </w:rPr>
              <w:t xml:space="preserve">before loss allowance</w:t>
            </w:r>
            <w:r>
              <w:t xml:space="preserve">, presentation currency</w:t>
            </w:r>
          </w:p>
        </w:tc>
        <w:tc>
          <w:p>
            <w:pPr>
              <w:pStyle w:val="Compact"/>
              <w:jc w:val="left"/>
            </w:pPr>
            <w:r>
              <w:t xml:space="preserve">In-scope outstanding NPR as a single KPI (</w:t>
            </w:r>
            <w:r>
              <w:rPr>
                <w:rStyle w:val="VerbatimChar"/>
              </w:rPr>
              <w:t xml:space="preserve">portfolio.ts:582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Partial.</w:t>
            </w:r>
            <w:r>
              <w:t xml:space="preserve"> </w:t>
            </w:r>
            <w:r>
              <w:t xml:space="preserve">Not disaggregated; loss-allowance treatment undefined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(c)</w:t>
            </w:r>
            <w:r>
              <w:t xml:space="preserve"> </w:t>
            </w:r>
            <w:r>
              <w:rPr>
                <w:b/>
              </w:rPr>
              <w:t xml:space="preserve">Percentage of gross exposure included</w:t>
            </w:r>
            <w:r>
              <w:t xml:space="preserve">; exclusions and asset types explained;</w:t>
            </w:r>
            <w:r>
              <w:t xml:space="preserve"> </w:t>
            </w:r>
            <w:r>
              <w:rPr>
                <w:b/>
              </w:rPr>
              <w:t xml:space="preserve">risk mitigants excluded</w:t>
            </w:r>
            <w:r>
              <w:t xml:space="preserve">; undrawn stated separately</w:t>
            </w:r>
          </w:p>
        </w:tc>
        <w:tc>
          <w:p>
            <w:pPr>
              <w:pStyle w:val="Compact"/>
              <w:jc w:val="left"/>
            </w:pPr>
            <w:r>
              <w:t xml:space="preserve">One ratio: facility-matched ÷ in-scope (</w:t>
            </w:r>
            <w:r>
              <w:rPr>
                <w:rStyle w:val="VerbatimChar"/>
              </w:rPr>
              <w:t xml:space="preserve">nfrs-tab.tsx:413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met as specified.</w:t>
            </w:r>
            <w:r>
              <w:t xml:space="preserve"> </w:t>
            </w:r>
            <w:r>
              <w:t xml:space="preserve">Different denominator from the one required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(d)</w:t>
            </w:r>
            <w:r>
              <w:t xml:space="preserve"> </w:t>
            </w:r>
            <w:r>
              <w:t xml:space="preserve">Methodology</w:t>
            </w:r>
            <w:r>
              <w:t xml:space="preserve"> </w:t>
            </w:r>
            <w:r>
              <w:rPr>
                <w:b/>
              </w:rPr>
              <w:t xml:space="preserve">including the allocation method</w:t>
            </w:r>
          </w:p>
        </w:tc>
        <w:tc>
          <w:p>
            <w:pPr>
              <w:pStyle w:val="Compact"/>
              <w:jc w:val="left"/>
            </w:pPr>
            <w:r>
              <w:t xml:space="preserve">A hardcoded prose string (</w:t>
            </w:r>
            <w:r>
              <w:rPr>
                <w:rStyle w:val="VerbatimChar"/>
              </w:rPr>
              <w:t xml:space="preserve">portfolio.ts:831</w:t>
            </w:r>
            <w:r>
              <w:t xml:space="preserve">, and a different one at</w:t>
            </w:r>
            <w:r>
              <w:t xml:space="preserve"> </w:t>
            </w:r>
            <w:r>
              <w:rPr>
                <w:rStyle w:val="VerbatimChar"/>
              </w:rPr>
              <w:t xml:space="preserve">api/bfi.ts:218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</w:p>
        </w:tc>
      </w:tr>
    </w:tbl>
    <w:p>
      <w:pPr>
        <w:pStyle w:val="BodyText"/>
      </w:pPr>
      <w:r>
        <w:t xml:space="preserve">Supporting requirements that also apply and are unaddressed:</w:t>
      </w:r>
      <w:r>
        <w:t xml:space="preserve"> </w:t>
      </w:r>
      <w:r>
        <w:rPr>
          <w:b/>
        </w:rPr>
        <w:t xml:space="preserve">§29(a)(iii)</w:t>
      </w:r>
      <w:r>
        <w:t xml:space="preserve"> </w:t>
      </w:r>
      <w:r>
        <w:t xml:space="preserve">measurement approach,</w:t>
      </w:r>
      <w:r>
        <w:t xml:space="preserve"> </w:t>
      </w:r>
      <w:r>
        <w:t xml:space="preserve">inputs, assumptions and changes with reasons;</w:t>
      </w:r>
      <w:r>
        <w:t xml:space="preserve"> </w:t>
      </w:r>
      <w:r>
        <w:rPr>
          <w:b/>
        </w:rPr>
        <w:t xml:space="preserve">B55–B56</w:t>
      </w:r>
      <w:r>
        <w:t xml:space="preserve"> </w:t>
      </w:r>
      <w:r>
        <w:t xml:space="preserve">the extent to which Scope 3 is measured using</w:t>
      </w:r>
      <w:r>
        <w:t xml:space="preserve"> </w:t>
      </w:r>
      <w:r>
        <w:t xml:space="preserve">primary activity data and the extent using verified data;</w:t>
      </w:r>
      <w:r>
        <w:t xml:space="preserve"> </w:t>
      </w:r>
      <w:r>
        <w:rPr>
          <w:b/>
        </w:rPr>
        <w:t xml:space="preserve">B27</w:t>
      </w:r>
      <w:r>
        <w:t xml:space="preserve"> </w:t>
      </w:r>
      <w:r>
        <w:t xml:space="preserve">the consolidation approach (equity</w:t>
      </w:r>
      <w:r>
        <w:t xml:space="preserve"> </w:t>
      </w:r>
      <w:r>
        <w:t xml:space="preserve">share or control) and the reason for it;</w:t>
      </w:r>
      <w:r>
        <w:t xml:space="preserve"> </w:t>
      </w:r>
      <w:r>
        <w:rPr>
          <w:b/>
        </w:rPr>
        <w:t xml:space="preserve">S1 §70</w:t>
      </w:r>
      <w:r>
        <w:t xml:space="preserve"> </w:t>
      </w:r>
      <w:r>
        <w:t xml:space="preserve">comparatives from year two.</w:t>
      </w:r>
    </w:p>
    <w:p>
      <w:pPr>
        <w:pStyle w:val="Heading2"/>
      </w:pPr>
      <w:bookmarkStart w:id="24" w:name="pcaf-is-not-what-the-standard-asks-for"/>
      <w:r>
        <w:t xml:space="preserve">2.1 PCAF is not what the standard asks for</w:t>
      </w:r>
      <w:bookmarkEnd w:id="24"/>
    </w:p>
    <w:p>
      <w:pPr>
        <w:pStyle w:val="FirstParagraph"/>
      </w:pPr>
      <w:r>
        <w:rPr>
          <w:b/>
        </w:rPr>
        <w:t xml:space="preserve">PCAF is never mentioned in either standard</w:t>
      </w:r>
      <w:r>
        <w:t xml:space="preserve"> </w:t>
      </w:r>
      <w:r>
        <w:t xml:space="preserve">— zero hits for</w:t>
      </w:r>
      <w:r>
        <w:t xml:space="preserve"> </w:t>
      </w:r>
      <w:r>
        <w:t xml:space="preserve">“</w:t>
      </w:r>
      <w:r>
        <w:t xml:space="preserve">PCAF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Partnership for Carbon</w:t>
      </w:r>
      <w:r>
        <w:t xml:space="preserve">”</w:t>
      </w:r>
      <w:r>
        <w:t xml:space="preserve"> </w:t>
      </w:r>
      <w:r>
        <w:t xml:space="preserve">across</w:t>
      </w:r>
      <w:r>
        <w:t xml:space="preserve"> </w:t>
      </w:r>
      <w:r>
        <w:t xml:space="preserve">both PDFs. B62(d) requires only that the allocation method be disclosed; PCAF is a legitimate way to</w:t>
      </w:r>
      <w:r>
        <w:t xml:space="preserve"> </w:t>
      </w:r>
      <w:r>
        <w:t xml:space="preserve">satisfy that, not a mandated one. Likewise the PCAF data quality score is</w:t>
      </w:r>
      <w:r>
        <w:t xml:space="preserve"> </w:t>
      </w:r>
      <w:r>
        <w:rPr>
          <w:i/>
        </w:rPr>
        <w:t xml:space="preserve">one way</w:t>
      </w:r>
      <w:r>
        <w:t xml:space="preserve"> </w:t>
      </w:r>
      <w:r>
        <w:t xml:space="preserve">of conveying</w:t>
      </w:r>
      <w:r>
        <w:t xml:space="preserve"> </w:t>
      </w:r>
      <w:r>
        <w:t xml:space="preserve">B55–B56, not a required metric.</w:t>
      </w:r>
    </w:p>
    <w:p>
      <w:pPr>
        <w:pStyle w:val="BodyText"/>
      </w:pPr>
      <w:r>
        <w:t xml:space="preserve">This matters commercially. We currently present PCAF as though it were the standard’s own machinery. The</w:t>
      </w:r>
      <w:r>
        <w:t xml:space="preserve"> </w:t>
      </w:r>
      <w:r>
        <w:t xml:space="preserve">defensible claim is narrower and still strong: PCAF is a recognised, documented allocation method that</w:t>
      </w:r>
      <w:r>
        <w:t xml:space="preserve"> </w:t>
      </w:r>
      <w:r>
        <w:t xml:space="preserve">satisfies B62(d), and moving a borrower from Score 5 to Score 3 improves the evidence base behind the</w:t>
      </w:r>
      <w:r>
        <w:t xml:space="preserve"> </w:t>
      </w:r>
      <w:r>
        <w:t xml:space="preserve">number — not that the standard demands a PCAF score.</w:t>
      </w:r>
    </w:p>
    <w:p>
      <w:pPr>
        <w:pStyle w:val="Heading2"/>
      </w:pPr>
      <w:bookmarkStart w:id="25" w:name="attribution-mechanics"/>
      <w:r>
        <w:t xml:space="preserve">2.2 Attribution mechanics</w:t>
      </w:r>
      <w:bookmarkEnd w:id="25"/>
    </w:p>
    <w:p>
      <w:pPr>
        <w:pStyle w:val="FirstParagraph"/>
      </w:pPr>
      <w:r>
        <w:t xml:space="preserve">The attribution factor is</w:t>
      </w:r>
      <w:r>
        <w:t xml:space="preserve"> </w:t>
      </w:r>
      <w:r>
        <w:rPr>
          <w:rStyle w:val="VerbatimChar"/>
        </w:rPr>
        <w:t xml:space="preserve">loan.outstandingUsd / enterpriseValue</w:t>
      </w:r>
      <w:r>
        <w:t xml:space="preserve"> </w:t>
      </w:r>
      <w:r>
        <w:t xml:space="preserve">with a floor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portfolio.ts:343–348</w:t>
      </w:r>
      <w:r>
        <w:t xml:space="preserve">), applied uniformly. PCAF Part A uses different denominators per asset class —</w:t>
      </w:r>
      <w:r>
        <w:t xml:space="preserve"> </w:t>
      </w:r>
      <w:r>
        <w:t xml:space="preserve">EVIC for listed equity (§5.1), total equity plus debt for unlisted (§5.2), total project cost for project</w:t>
      </w:r>
      <w:r>
        <w:t xml:space="preserve"> </w:t>
      </w:r>
      <w:r>
        <w:t xml:space="preserve">finance (§5.3). The code does not distinguish them and the UI labels every row</w:t>
      </w:r>
      <w:r>
        <w:t xml:space="preserve"> </w:t>
      </w:r>
      <w:r>
        <w:t xml:space="preserve">“</w:t>
      </w:r>
      <w:r>
        <w:t xml:space="preserve">loan outstanding ÷</w:t>
      </w:r>
      <w:r>
        <w:t xml:space="preserve"> </w:t>
      </w:r>
      <w:r>
        <w:t xml:space="preserve">enterprise value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nfrs-tab.tsx:351</w:t>
      </w:r>
      <w:r>
        <w:t xml:space="preserve">).</w:t>
      </w:r>
    </w:p>
    <w:p>
      <w:pPr>
        <w:pStyle w:val="BodyText"/>
      </w:pPr>
      <w:r>
        <w:t xml:space="preserve">Two code paths use</w:t>
      </w:r>
      <w:r>
        <w:t xml:space="preserve"> </w:t>
      </w:r>
      <w:r>
        <w:rPr>
          <w:b/>
        </w:rPr>
        <w:t xml:space="preserve">different EV floors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Math.max(1_000_000, …)</w:t>
      </w:r>
      <w:r>
        <w:t xml:space="preserve"> </w:t>
      </w:r>
      <w:r>
        <w:t xml:space="preserve">in the demo path versus</w:t>
      </w:r>
      <w:r>
        <w:t xml:space="preserve"> </w:t>
      </w:r>
      <w:r>
        <w:rPr>
          <w:rStyle w:val="VerbatimChar"/>
        </w:rPr>
        <w:t xml:space="preserve">Math.max(1, …)</w:t>
      </w:r>
      <w:r>
        <w:t xml:space="preserve"> </w:t>
      </w:r>
      <w:r>
        <w:t xml:space="preserve">in the live overlay (</w:t>
      </w:r>
      <w:r>
        <w:rPr>
          <w:rStyle w:val="VerbatimChar"/>
        </w:rPr>
        <w:t xml:space="preserve">api/bfi.ts:190</w:t>
      </w:r>
      <w:r>
        <w:t xml:space="preserve">). The disclosed total therefore depends on which</w:t>
      </w:r>
      <w:r>
        <w:t xml:space="preserve"> </w:t>
      </w:r>
      <w:r>
        <w:t xml:space="preserve">path served the request. Both</w:t>
      </w:r>
      <w:r>
        <w:t xml:space="preserve"> </w:t>
      </w:r>
      <w:r>
        <w:rPr>
          <w:rStyle w:val="VerbatimChar"/>
        </w:rPr>
        <w:t xml:space="preserve">buildSummary()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recomputeSummary()</w:t>
      </w:r>
      <w:r>
        <w:t xml:space="preserve"> </w:t>
      </w:r>
      <w:r>
        <w:t xml:space="preserve">carry comments warning that they</w:t>
      </w:r>
      <w:r>
        <w:t xml:space="preserve"> </w:t>
      </w:r>
      <w:r>
        <w:t xml:space="preserve">are a duplicated aggregator pair that must be kept in step; they are already out of step.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the-larger-gap-three-of-the-four-pillars"/>
      <w:r>
        <w:t xml:space="preserve">3. The larger gap — three of the four pillars</w:t>
      </w:r>
      <w:bookmarkEnd w:id="26"/>
    </w:p>
    <w:p>
      <w:pPr>
        <w:pStyle w:val="FirstParagraph"/>
      </w:pPr>
      <w:r>
        <w:t xml:space="preserve">S2 follows the four-pillar structure. We occupy part of one.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Governance</w:t>
            </w:r>
          </w:p>
        </w:tc>
        <w:tc>
          <w:p>
            <w:pPr>
              <w:pStyle w:val="Compact"/>
              <w:jc w:val="left"/>
            </w:pPr>
            <w:r>
              <w:t xml:space="preserve">§6 — oversight body, skills and competencies, how and how often informed, trade-offs considered, whether performance metrics enter remuneration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Nothing.</w:t>
            </w:r>
            <w:r>
              <w:t xml:space="preserve"> </w:t>
            </w:r>
            <w:r>
              <w:t xml:space="preserve">Zero hits for</w:t>
            </w:r>
            <w:r>
              <w:t xml:space="preserve"> </w:t>
            </w:r>
            <w:r>
              <w:t xml:space="preserve">“</w:t>
            </w:r>
            <w:r>
              <w:t xml:space="preserve">governance</w:t>
            </w:r>
            <w:r>
              <w:t xml:space="preserve">”</w:t>
            </w:r>
            <w:r>
              <w:t xml:space="preserve"> </w:t>
            </w:r>
            <w:r>
              <w:t xml:space="preserve">across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§§10–21 — risks classified physical or transition, time horizons and their link to planning horizons, business model and value chain concentration, transition plan, current and anticipated financial effects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Nothing</w:t>
            </w:r>
            <w:r>
              <w:t xml:space="preserve"> </w:t>
            </w:r>
            <w:r>
              <w:t xml:space="preserve">rendered as disclosure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Strategy — climate resilience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§22 mandates scenario analysis.</w:t>
            </w:r>
            <w:r>
              <w:t xml:space="preserve"> </w:t>
            </w:r>
            <w:r>
              <w:t xml:space="preserve">B17: an entity with high exposure and available resources</w:t>
            </w:r>
            <w:r>
              <w:t xml:space="preserve"> </w:t>
            </w:r>
            <w:r>
              <w:rPr>
                <w:b/>
              </w:rPr>
              <w:t xml:space="preserve">is required</w:t>
            </w:r>
            <w:r>
              <w:t xml:space="preserve"> </w:t>
            </w:r>
            <w:r>
              <w:t xml:space="preserve">to apply a quantitative approach. B18: the resilience assessment must be carried out</w:t>
            </w:r>
            <w:r>
              <w:t xml:space="preserve"> </w:t>
            </w:r>
            <w:r>
              <w:rPr>
                <w:b/>
              </w:rPr>
              <w:t xml:space="preserve">annually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Nothing.</w:t>
            </w:r>
            <w:r>
              <w:t xml:space="preserve"> </w:t>
            </w:r>
            <w:r>
              <w:t xml:space="preserve">Zero hits for</w:t>
            </w:r>
            <w:r>
              <w:t xml:space="preserve"> </w:t>
            </w:r>
            <w:r>
              <w:t xml:space="preserve">“</w:t>
            </w:r>
            <w:r>
              <w:t xml:space="preserve">scenario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Risk management</w:t>
            </w:r>
          </w:p>
        </w:tc>
        <w:tc>
          <w:p>
            <w:pPr>
              <w:pStyle w:val="Compact"/>
              <w:jc w:val="left"/>
            </w:pPr>
            <w:r>
              <w:t xml:space="preserve">§25 — processes to identify, assess, prioritise and monitor; whether scenario analysis informs identification; how climate risk is prioritised relative to other risks; integration into overall risk management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disclosure output.</w:t>
            </w:r>
            <w:r>
              <w:t xml:space="preserve"> </w:t>
            </w:r>
            <w:r>
              <w:t xml:space="preserve">Substantial operational machinery exists (Annex 5, Annex 5b, CAP, NGFS categories) but nothing renders §25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Metrics and targets</w:t>
            </w:r>
          </w:p>
        </w:tc>
        <w:tc>
          <w:p>
            <w:pPr>
              <w:pStyle w:val="Compact"/>
              <w:jc w:val="left"/>
            </w:pPr>
            <w:r>
              <w:t xml:space="preserve">§29(a) GHG; §29(b)–(g) cross-industry metrics; §32 industry metrics; §§33–36 targets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Partial</w:t>
            </w:r>
            <w:r>
              <w:t xml:space="preserve"> </w:t>
            </w:r>
            <w:r>
              <w:t xml:space="preserve">— see below</w:t>
            </w:r>
          </w:p>
        </w:tc>
      </w:tr>
    </w:tbl>
    <w:p>
      <w:pPr>
        <w:pStyle w:val="BodyText"/>
      </w:pPr>
      <w:r>
        <w:t xml:space="preserve">Within metrics and targets: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§29(b)–(d)</w:t>
      </w:r>
      <w:r>
        <w:t xml:space="preserve"> </w:t>
      </w:r>
      <w:r>
        <w:t xml:space="preserve">amount and percentage of assets vulnerable to transition risk, to physical risk, and</w:t>
      </w:r>
      <w:r>
        <w:t xml:space="preserve"> </w:t>
      </w:r>
      <w:r>
        <w:t xml:space="preserve">aligned with climate opportunities —</w:t>
      </w:r>
      <w:r>
        <w:t xml:space="preserve"> </w:t>
      </w:r>
      <w:r>
        <w:rPr>
          <w:b/>
        </w:rPr>
        <w:t xml:space="preserve">not produced</w:t>
      </w:r>
      <w:r>
        <w:t xml:space="preserve">. The Green/Amber/Red taxonomy totals are NRB</w:t>
      </w:r>
      <w:r>
        <w:t xml:space="preserve"> </w:t>
      </w:r>
      <w:r>
        <w:t xml:space="preserve">classification, not an §29(d) alignment metric, and are never labelled as one.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§29(e)</w:t>
      </w:r>
      <w:r>
        <w:t xml:space="preserve"> </w:t>
      </w:r>
      <w:r>
        <w:t xml:space="preserve">capital deployed toward climate risks and opportunities —</w:t>
      </w:r>
      <w:r>
        <w:t xml:space="preserve"> </w:t>
      </w:r>
      <w:r>
        <w:rPr>
          <w:b/>
        </w:rPr>
        <w:t xml:space="preserve">nothing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§29(f)</w:t>
      </w:r>
      <w:r>
        <w:t xml:space="preserve"> </w:t>
      </w:r>
      <w:r>
        <w:t xml:space="preserve">internal carbon price and the price per tonne used —</w:t>
      </w:r>
      <w:r>
        <w:t xml:space="preserve"> </w:t>
      </w:r>
      <w:r>
        <w:rPr>
          <w:b/>
        </w:rPr>
        <w:t xml:space="preserve">nothing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§29(g)</w:t>
      </w:r>
      <w:r>
        <w:t xml:space="preserve"> </w:t>
      </w:r>
      <w:r>
        <w:t xml:space="preserve">percentage of executive remuneration linked to climate —</w:t>
      </w:r>
      <w:r>
        <w:t xml:space="preserve"> </w:t>
      </w:r>
      <w:r>
        <w:rPr>
          <w:b/>
        </w:rPr>
        <w:t xml:space="preserve">nothing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§§33–36</w:t>
      </w:r>
      <w:r>
        <w:t xml:space="preserve"> </w:t>
      </w:r>
      <w:r>
        <w:t xml:space="preserve">targets: metric, objective, scope of application, period, base period, milestones, absolute</w:t>
      </w:r>
      <w:r>
        <w:t xml:space="preserve"> </w:t>
      </w:r>
      <w:r>
        <w:t xml:space="preserve">or intensity, how the latest international climate agreement informed it, gases and scopes covered,</w:t>
      </w:r>
      <w:r>
        <w:t xml:space="preserve"> </w:t>
      </w:r>
      <w:r>
        <w:t xml:space="preserve">gross versus net, planned use of carbon credits —</w:t>
      </w:r>
      <w:r>
        <w:t xml:space="preserve"> </w:t>
      </w:r>
      <w:r>
        <w:rPr>
          <w:b/>
        </w:rPr>
        <w:t xml:space="preserve">nothing at bank level</w:t>
      </w:r>
      <w:r>
        <w:t xml:space="preserve">. The only</w:t>
      </w:r>
      <w:r>
        <w:t xml:space="preserve"> </w:t>
      </w:r>
      <w:r>
        <w:t xml:space="preserve">“</w:t>
      </w:r>
      <w:r>
        <w:t xml:space="preserve">target</w:t>
      </w:r>
      <w:r>
        <w:t xml:space="preserve">”</w:t>
      </w:r>
      <w:r>
        <w:t xml:space="preserve"> </w:t>
      </w:r>
      <w:r>
        <w:t xml:space="preserve">in the</w:t>
      </w:r>
      <w:r>
        <w:t xml:space="preserve"> </w:t>
      </w:r>
      <w:r>
        <w:t xml:space="preserve">system is a per-borrower boolean fabricated by hash (</w:t>
      </w:r>
      <w:r>
        <w:rPr>
          <w:rStyle w:val="VerbatimChar"/>
        </w:rPr>
        <w:t xml:space="preserve">climate/infer.ts:250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Comparatives</w:t>
      </w:r>
      <w:r>
        <w:t xml:space="preserve"> </w:t>
      </w:r>
      <w:r>
        <w:t xml:space="preserve">(S1 §70): a five-year trend chart and one year-on-year percentage. Neither export</w:t>
      </w:r>
      <w:r>
        <w:t xml:space="preserve"> </w:t>
      </w:r>
      <w:r>
        <w:t xml:space="preserve">carries a prior-period column; there is no restatement mechanism.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Materiality judgements</w:t>
      </w:r>
      <w:r>
        <w:t xml:space="preserve"> </w:t>
      </w:r>
      <w:r>
        <w:t xml:space="preserve">(S1 §74, B19–B29) and</w:t>
      </w:r>
      <w:r>
        <w:t xml:space="preserve"> </w:t>
      </w:r>
      <w:r>
        <w:rPr>
          <w:b/>
        </w:rPr>
        <w:t xml:space="preserve">connected information</w:t>
      </w:r>
      <w:r>
        <w:t xml:space="preserve"> </w:t>
      </w:r>
      <w:r>
        <w:t xml:space="preserve">(S1 §21, B39–B44):</w:t>
      </w:r>
      <w:r>
        <w:t xml:space="preserve"> </w:t>
      </w:r>
      <w:r>
        <w:rPr>
          <w:b/>
        </w:rPr>
        <w:t xml:space="preserve">nothing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X5d894507eca2d955b9088af5bd79a9e387670b6"/>
      <w:r>
        <w:t xml:space="preserve">4. GHG mechanics — gaps that are not about financed emissions</w:t>
      </w:r>
      <w:bookmarkEnd w:id="27"/>
    </w:p>
    <w:p>
      <w:pPr>
        <w:pStyle w:val="FirstParagraph"/>
      </w:pPr>
      <w:r>
        <w:rPr>
          <w:b/>
        </w:rPr>
        <w:t xml:space="preserve">The bank’s own Scope 1 and Scope 2 are absent.</w:t>
      </w:r>
      <w:r>
        <w:t xml:space="preserve"> </w:t>
      </w:r>
      <w:r>
        <w:t xml:space="preserve">We compute only Scope 3 Category 15. A bank still has</w:t>
      </w:r>
      <w:r>
        <w:t xml:space="preserve"> </w:t>
      </w:r>
      <w:r>
        <w:t xml:space="preserve">to disclose its own fuel, fleet and purchased electricity. §29(a)(v) and</w:t>
      </w:r>
      <w:r>
        <w:t xml:space="preserve"> </w:t>
      </w:r>
      <w:r>
        <w:rPr>
          <w:b/>
        </w:rPr>
        <w:t xml:space="preserve">B30</w:t>
      </w:r>
      <w:r>
        <w:t xml:space="preserve"> </w:t>
      </w:r>
      <w:r>
        <w:t xml:space="preserve">are emphatic that</w:t>
      </w:r>
      <w:r>
        <w:t xml:space="preserve"> </w:t>
      </w:r>
      <w:r>
        <w:rPr>
          <w:b/>
        </w:rPr>
        <w:t xml:space="preserve">location-based Scope 2 is mandatory</w:t>
      </w:r>
      <w:r>
        <w:t xml:space="preserve"> </w:t>
      </w:r>
      <w:r>
        <w:t xml:space="preserve">(</w:t>
      </w:r>
      <w:r>
        <w:t xml:space="preserve">“</w:t>
      </w:r>
      <w:r>
        <w:t xml:space="preserve">For the avoidance of doubt…</w:t>
      </w:r>
      <w:r>
        <w:t xml:space="preserve">”</w:t>
      </w:r>
      <w:r>
        <w:t xml:space="preserve">), with market-based permitted only</w:t>
      </w:r>
      <w:r>
        <w:t xml:space="preserve"> </w:t>
      </w:r>
      <w:r>
        <w:t xml:space="preserve">as additional context where contractual instruments exist. Searching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location-based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market-based</w:t>
      </w:r>
      <w:r>
        <w:t xml:space="preserve">”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</w:rPr>
        <w:t xml:space="preserve">zero hits</w:t>
      </w:r>
      <w:r>
        <w:t xml:space="preserve"> </w:t>
      </w:r>
      <w:r>
        <w:t xml:space="preserve">— Scope 2 is not unspecified, it is absent</w:t>
      </w:r>
      <w:r>
        <w:t xml:space="preserve"> </w:t>
      </w:r>
      <w:r>
        <w:t xml:space="preserve">as a concept.</w:t>
      </w:r>
    </w:p>
    <w:p>
      <w:pPr>
        <w:pStyle w:val="BodyText"/>
      </w:pPr>
      <w:r>
        <w:rPr>
          <w:b/>
        </w:rPr>
        <w:t xml:space="preserve">Seven gases, not one.</w:t>
      </w:r>
      <w:r>
        <w:t xml:space="preserve"> </w:t>
      </w:r>
      <w:r>
        <w:t xml:space="preserve">Appendix A defines greenhouse gases as the seven Kyoto gases, aggregated into</w:t>
      </w:r>
      <w:r>
        <w:t xml:space="preserve"> </w:t>
      </w:r>
      <w:r>
        <w:t xml:space="preserve">CO₂e using</w:t>
      </w:r>
      <w:r>
        <w:t xml:space="preserve"> </w:t>
      </w:r>
      <w:r>
        <w:rPr>
          <w:b/>
        </w:rPr>
        <w:t xml:space="preserve">100-year GWPs from the latest IPCC assessment available at the reporting date</w:t>
      </w:r>
      <w:r>
        <w:t xml:space="preserve"> </w:t>
      </w:r>
      <w:r>
        <w:t xml:space="preserve">(B20–B22).</w:t>
      </w:r>
      <w:r>
        <w:t xml:space="preserve"> </w:t>
      </w:r>
      <w:r>
        <w:t xml:space="preserve">Everything in the platform is a single</w:t>
      </w:r>
      <w:r>
        <w:t xml:space="preserve"> </w:t>
      </w:r>
      <w:r>
        <w:rPr>
          <w:rStyle w:val="VerbatimChar"/>
        </w:rPr>
        <w:t xml:space="preserve">co2e</w:t>
      </w:r>
      <w:r>
        <w:t xml:space="preserve"> </w:t>
      </w:r>
      <w:r>
        <w:t xml:space="preserve">scalar; zero hits for Kyoto, SF6, HFC, PFC or NF3.</w:t>
      </w:r>
    </w:p>
    <w:p>
      <w:pPr>
        <w:pStyle w:val="BodyText"/>
      </w:pPr>
      <w:r>
        <w:rPr>
          <w:b/>
        </w:rPr>
        <w:t xml:space="preserve">Two factors are CO₂, not CO₂e.</w:t>
      </w:r>
      <w:r>
        <w:t xml:space="preserve"> </w:t>
      </w:r>
      <w:r>
        <w:rPr>
          <w:rStyle w:val="VerbatimChar"/>
        </w:rPr>
        <w:t xml:space="preserve">CEMENT_TCO2_PER_TONNE = 0.75</w:t>
      </w:r>
      <w:r>
        <w:t xml:space="preserve"> </w:t>
      </w:r>
      <w:r>
        <w:t xml:space="preserve">(</w:t>
      </w:r>
      <w:r>
        <w:rPr>
          <w:rStyle w:val="VerbatimChar"/>
        </w:rPr>
        <w:t xml:space="preserve">entities.ts:78</w:t>
      </w:r>
      <w:r>
        <w:t xml:space="preserve">) and hydro at</w:t>
      </w:r>
      <w:r>
        <w:t xml:space="preserve"> </w:t>
      </w:r>
      <w:r>
        <w:rPr>
          <w:rStyle w:val="VerbatimChar"/>
        </w:rPr>
        <w:t xml:space="preserve">capacityMw * 15</w:t>
      </w:r>
      <w:r>
        <w:t xml:space="preserve"> </w:t>
      </w:r>
      <w:r>
        <w:t xml:space="preserve">tCO₂/MW/yr (</w:t>
      </w:r>
      <w:r>
        <w:rPr>
          <w:rStyle w:val="VerbatimChar"/>
        </w:rPr>
        <w:t xml:space="preserve">entities.ts:254</w:t>
      </w:r>
      <w:r>
        <w:t xml:space="preserve">) both flow into fields named</w:t>
      </w:r>
      <w:r>
        <w:t xml:space="preserve"> </w:t>
      </w:r>
      <w:r>
        <w:rPr>
          <w:rStyle w:val="VerbatimChar"/>
        </w:rPr>
        <w:t xml:space="preserve">annualCo2eTonnes</w:t>
      </w:r>
      <w:r>
        <w:t xml:space="preserve"> </w:t>
      </w:r>
      <w:r>
        <w:t xml:space="preserve">and</w:t>
      </w:r>
      <w:r>
        <w:t xml:space="preserve"> </w:t>
      </w:r>
      <w:r>
        <w:t xml:space="preserve">render as</w:t>
      </w:r>
      <w:r>
        <w:t xml:space="preserve"> </w:t>
      </w:r>
      <w:r>
        <w:t xml:space="preserve">“</w:t>
      </w:r>
      <w:r>
        <w:t xml:space="preserve">tCO2e</w:t>
      </w:r>
      <w:r>
        <w:t xml:space="preserve">”</w:t>
      </w:r>
      <w:r>
        <w:t xml:space="preserve">. The label and the arithmetic disagree.</w:t>
      </w:r>
    </w:p>
    <w:p>
      <w:pPr>
        <w:pStyle w:val="BodyText"/>
      </w:pPr>
      <w:r>
        <w:rPr>
          <w:b/>
        </w:rPr>
        <w:t xml:space="preserve">§29(a)(iv) disaggregation</w:t>
      </w:r>
      <w:r>
        <w:t xml:space="preserve"> </w:t>
      </w:r>
      <w:r>
        <w:t xml:space="preserve">of Scope 1 and 2 between the consolidated accounting group and other</w:t>
      </w:r>
      <w:r>
        <w:t xml:space="preserve"> </w:t>
      </w:r>
      <w:r>
        <w:t xml:space="preserve">investees — not applicable until Scope 1 and 2 exist, but it shapes the data model.</w:t>
      </w:r>
    </w:p>
    <w:p>
      <w:pPr>
        <w:pStyle w:val="BodyText"/>
      </w:pPr>
      <w:r>
        <w:rPr>
          <w:b/>
        </w:rPr>
        <w:t xml:space="preserve">B27 consolidation approach</w:t>
      </w:r>
      <w:r>
        <w:t xml:space="preserve"> </w:t>
      </w:r>
      <w:r>
        <w:t xml:space="preserve">— the entity is required to use the equity share or control approach and</w:t>
      </w:r>
      <w:r>
        <w:t xml:space="preserve"> </w:t>
      </w:r>
      <w:r>
        <w:t xml:space="preserve">to disclose which. Nothing in the data model carries this.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Xb776aee6dc609b374f614b616381c936db6c218"/>
      <w:r>
        <w:t xml:space="preserve">5. Timeline — the transition reliefs are generous</w:t>
      </w:r>
      <w:bookmarkEnd w:id="28"/>
    </w:p>
    <w:p>
      <w:pPr>
        <w:pStyle w:val="FirstParagraph"/>
      </w:pPr>
      <w:r>
        <w:t xml:space="preserve">This is the most commercially useful section, and it argues against urgency framing.</w:t>
      </w:r>
    </w:p>
    <w:p>
      <w:pPr>
        <w:pStyle w:val="BodyText"/>
      </w:pPr>
      <w:r>
        <w:rPr>
          <w:b/>
        </w:rPr>
        <w:t xml:space="preserve">S2 Appendix C, paragraph C4(b)</w:t>
      </w:r>
      <w:r>
        <w:t xml:space="preserve"> </w:t>
      </w:r>
      <w:r>
        <w:t xml:space="preserve">lets an entity omit Scope 3 in the first annual reporting period, and</w:t>
      </w:r>
      <w:r>
        <w:t xml:space="preserve"> </w:t>
      </w:r>
      <w:r>
        <w:t xml:space="preserve">says so explicitly for our case:</w:t>
      </w:r>
    </w:p>
    <w:p>
      <w:pPr>
        <w:pStyle w:val="BlockText"/>
      </w:pPr>
      <w:r>
        <w:t xml:space="preserve">“</w:t>
      </w:r>
      <w:r>
        <w:t xml:space="preserve">…includes, if the entity participates in asset management, commercial banking or insurance</w:t>
      </w:r>
      <w:r>
        <w:t xml:space="preserve"> </w:t>
      </w:r>
      <w:r>
        <w:t xml:space="preserve">activities, the additional information about its financed emissions (see paragraph 29(a)(vi)(2) and</w:t>
      </w:r>
      <w:r>
        <w:t xml:space="preserve"> </w:t>
      </w:r>
      <w:r>
        <w:t xml:space="preserve">paragraphs B58–B63).</w:t>
      </w:r>
      <w:r>
        <w:t xml:space="preserve">”</w:t>
      </w:r>
    </w:p>
    <w:p>
      <w:pPr>
        <w:pStyle w:val="FirstParagraph"/>
      </w:pPr>
      <w:r>
        <w:t xml:space="preserve">Combined with the other first-year provisions: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Relief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S2 C4(b)</w:t>
            </w:r>
          </w:p>
        </w:tc>
        <w:tc>
          <w:p>
            <w:pPr>
              <w:pStyle w:val="Compact"/>
              <w:jc w:val="left"/>
            </w:pPr>
            <w:r>
              <w:t xml:space="preserve">Financed emissions may be omitted entirely in year 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S2 C4(a)</w:t>
            </w:r>
          </w:p>
        </w:tc>
        <w:tc>
          <w:p>
            <w:pPr>
              <w:pStyle w:val="Compact"/>
              <w:jc w:val="left"/>
            </w:pPr>
            <w:r>
              <w:t xml:space="preserve">An existing non-GHG-Protocol measurement method may be retained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S1 E5</w:t>
            </w:r>
          </w:p>
        </w:tc>
        <w:tc>
          <w:p>
            <w:pPr>
              <w:pStyle w:val="Compact"/>
              <w:jc w:val="left"/>
            </w:pPr>
            <w:r>
              <w:t xml:space="preserve">Year one may cover</w:t>
            </w:r>
            <w:r>
              <w:t xml:space="preserve"> </w:t>
            </w:r>
            <w:r>
              <w:rPr>
                <w:b/>
              </w:rPr>
              <w:t xml:space="preserve">climate only</w:t>
            </w:r>
            <w:r>
              <w:t xml:space="preserve">, not the full sustainability scope (must disclose that fact)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S1 E4</w:t>
            </w:r>
          </w:p>
        </w:tc>
        <w:tc>
          <w:p>
            <w:pPr>
              <w:pStyle w:val="Compact"/>
              <w:jc w:val="left"/>
            </w:pPr>
            <w:r>
              <w:t xml:space="preserve">Sustainability disclosures may be published</w:t>
            </w:r>
            <w:r>
              <w:t xml:space="preserve"> </w:t>
            </w:r>
            <w:r>
              <w:rPr>
                <w:b/>
              </w:rPr>
              <w:t xml:space="preserve">after</w:t>
            </w:r>
            <w:r>
              <w:t xml:space="preserve"> </w:t>
            </w:r>
            <w:r>
              <w:t xml:space="preserve">the financial statements — up to nine months after year end for non-interim reporters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S1 E3 / S2 C3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comparatives</w:t>
            </w:r>
            <w:r>
              <w:t xml:space="preserve"> </w:t>
            </w:r>
            <w:r>
              <w:t xml:space="preserve">in year 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S1 E6</w:t>
            </w:r>
          </w:p>
        </w:tc>
        <w:tc>
          <w:p>
            <w:pPr>
              <w:pStyle w:val="Compact"/>
              <w:jc w:val="left"/>
            </w:pPr>
            <w:r>
              <w:t xml:space="preserve">Where E5 is used, no comparatives for non-climate matters in year two either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S2 C5</w:t>
            </w:r>
          </w:p>
        </w:tc>
        <w:tc>
          <w:p>
            <w:pPr>
              <w:pStyle w:val="Compact"/>
              <w:jc w:val="left"/>
            </w:pPr>
            <w:r>
              <w:t xml:space="preserve">Year-one reliefs carry into the year-two comparative column</w:t>
            </w:r>
          </w:p>
        </w:tc>
      </w:tr>
    </w:tbl>
    <w:p>
      <w:pPr>
        <w:pStyle w:val="BodyText"/>
      </w:pPr>
      <w:r>
        <w:rPr>
          <w:b/>
        </w:rPr>
        <w:t xml:space="preserve">A Nepali bank’s first NFRS report can legitimately contain no financed emissions at all.</w:t>
      </w:r>
      <w:r>
        <w:t xml:space="preserve"> </w:t>
      </w:r>
      <w:r>
        <w:t xml:space="preserve">They bite in</w:t>
      </w:r>
      <w:r>
        <w:t xml:space="preserve"> </w:t>
      </w:r>
      <w:r>
        <w:rPr>
          <w:b/>
        </w:rPr>
        <w:t xml:space="preserve">year two</w:t>
      </w:r>
      <w:r>
        <w:t xml:space="preserve"> </w:t>
      </w:r>
      <w:r>
        <w:t xml:space="preserve">— and there is no year one yet, because there is no effective date.</w:t>
      </w:r>
    </w:p>
    <w:p>
      <w:pPr>
        <w:pStyle w:val="BodyText"/>
      </w:pPr>
      <w:r>
        <w:t xml:space="preserve">The honest framing for a bank: this is a capability to build before a deadline exists, not a filing tool</w:t>
      </w:r>
      <w:r>
        <w:t xml:space="preserve"> </w:t>
      </w:r>
      <w:r>
        <w:t xml:space="preserve">for a deadline that has arrived. That is a weaker urgency story and a stronger credibility story, and it</w:t>
      </w:r>
      <w:r>
        <w:t xml:space="preserve"> </w:t>
      </w:r>
      <w:r>
        <w:t xml:space="preserve">is consistent with what we have already told NMB and Laxmi.</w:t>
      </w:r>
    </w:p>
    <w:p>
      <w:pPr>
        <w:pStyle w:val="BodyText"/>
      </w:pPr>
      <w:r>
        <w:rPr>
          <w:b/>
        </w:rPr>
        <w:t xml:space="preserve">No proportionality by entity size, sector or asset threshold exists in either draft.</w:t>
      </w:r>
      <w:r>
        <w:t xml:space="preserve"> </w:t>
      </w:r>
      <w:r>
        <w:t xml:space="preserve">The only</w:t>
      </w:r>
      <w:r>
        <w:t xml:space="preserve"> </w:t>
      </w:r>
      <w:r>
        <w:t xml:space="preserve">proportionality mechanisms are the generic ones: materiality,</w:t>
      </w:r>
      <w:r>
        <w:t xml:space="preserve"> </w:t>
      </w:r>
      <w:r>
        <w:t xml:space="preserve">“</w:t>
      </w:r>
      <w:r>
        <w:t xml:space="preserve">reasonable and supportable information</w:t>
      </w:r>
      <w:r>
        <w:t xml:space="preserve"> </w:t>
      </w:r>
      <w:r>
        <w:t xml:space="preserve">available without undue cost or effort</w:t>
      </w:r>
      <w:r>
        <w:t xml:space="preserve">”</w:t>
      </w:r>
      <w:r>
        <w:t xml:space="preserve"> </w:t>
      </w:r>
      <w:r>
        <w:t xml:space="preserve">(S1 B6, B8–B10), and the scenario-analysis commensurability test</w:t>
      </w:r>
      <w:r>
        <w:t xml:space="preserve"> </w:t>
      </w:r>
      <w:r>
        <w:t xml:space="preserve">(S2 B1–B7).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X93364e12a636c4da69a2100b41770150f27060b"/>
      <w:r>
        <w:t xml:space="preserve">6. Integrity issues before any of this touches a real book</w:t>
      </w:r>
      <w:bookmarkEnd w:id="29"/>
    </w:p>
    <w:p>
      <w:pPr>
        <w:pStyle w:val="FirstParagraph"/>
      </w:pPr>
      <w:r>
        <w:t xml:space="preserve">Fine for a demonstration. Not fine the moment the disclosure preview points at a bank’s own portfolio.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Hardcoded name substrings decide PCAF scores.</w:t>
      </w:r>
      <w:r>
        <w:t xml:space="preserve"> </w:t>
      </w:r>
      <w:r>
        <w:rPr>
          <w:rStyle w:val="VerbatimChar"/>
        </w:rPr>
        <w:t xml:space="preserve">PCAF_NAME_FIXTURES_VERIFIED = ["ghorahi"]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PCAF_NAME_FIXTURES_UNVERIFIED = ["arghakhanchi", "hetauda cement", "butwal power"]</w:t>
      </w:r>
      <w:r>
        <w:t xml:space="preserve"> </w:t>
      </w:r>
      <w:r>
        <w:t xml:space="preserve">(</w:t>
      </w:r>
      <w:r>
        <w:rPr>
          <w:rStyle w:val="VerbatimChar"/>
        </w:rPr>
        <w:t xml:space="preserve">demo/fixtures.ts:41–60</w:t>
      </w:r>
      <w:r>
        <w:t xml:space="preserve">). Matching one of those strings is the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path to Score 1 or Score 2.</w:t>
      </w:r>
      <w:r>
        <w:t xml:space="preserve"> </w:t>
      </w:r>
      <w:r>
        <w:t xml:space="preserve">A second, independent name list in</w:t>
      </w:r>
      <w:r>
        <w:t xml:space="preserve"> </w:t>
      </w:r>
      <w:r>
        <w:rPr>
          <w:rStyle w:val="VerbatimChar"/>
        </w:rPr>
        <w:t xml:space="preserve">entities.ts:212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evSource: "public-filing"</w:t>
      </w:r>
      <w:r>
        <w:t xml:space="preserve">, routing a</w:t>
      </w:r>
      <w:r>
        <w:t xml:space="preserve"> </w:t>
      </w:r>
      <w:r>
        <w:t xml:space="preserve">borrower to Score 4 rather than 5.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The retail factor is tuned to the chart.</w:t>
      </w:r>
      <w:r>
        <w:t xml:space="preserve"> </w:t>
      </w:r>
      <w:r>
        <w:rPr>
          <w:rStyle w:val="VerbatimChar"/>
        </w:rPr>
        <w:t xml:space="preserve">RETAIL_TCO2E_PER_NPR = 6e-6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portfolio.ts:265</w:t>
      </w:r>
      <w:r>
        <w:t xml:space="preserve">), whose</w:t>
      </w:r>
      <w:r>
        <w:t xml:space="preserve"> </w:t>
      </w:r>
      <w:r>
        <w:t xml:space="preserve">own comment instructs a re-tuner to confirm</w:t>
      </w:r>
      <w:r>
        <w:t xml:space="preserve"> </w:t>
      </w:r>
      <w:r>
        <w:t xml:space="preserve">“</w:t>
      </w:r>
      <w:r>
        <w:t xml:space="preserve">the KPI</w:t>
      </w:r>
      <w:r>
        <w:t xml:space="preserve"> </w:t>
      </w:r>
      <w:r>
        <w:t xml:space="preserve">‘</w:t>
      </w:r>
      <w:r>
        <w:t xml:space="preserve">Total financed emissions</w:t>
      </w:r>
      <w:r>
        <w:t xml:space="preserve">’</w:t>
      </w:r>
      <w:r>
        <w:t xml:space="preserve"> </w:t>
      </w:r>
      <w:r>
        <w:t xml:space="preserve">stays under 10M tCO2e</w:t>
      </w:r>
      <w:r>
        <w:t xml:space="preserve"> </w:t>
      </w:r>
      <w:r>
        <w:t xml:space="preserve">and the trend chart’s Unclassified band is visible but not dominant.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demo-only rule sits in</w:t>
      </w:r>
      <w:r>
        <w:rPr>
          <w:b/>
        </w:rPr>
        <w:t xml:space="preserve"> </w:t>
      </w:r>
      <w:r>
        <w:rPr>
          <w:rStyle w:val="VerbatimChar"/>
          <w:b/>
        </w:rPr>
        <w:t xml:space="preserve">lib/regulatory/</w:t>
      </w:r>
      <w:r>
        <w:rPr>
          <w:b/>
        </w:rPr>
        <w:t xml:space="preserve">.</w:t>
      </w:r>
      <w:r>
        <w:t xml:space="preserve"> </w:t>
      </w:r>
      <w:r>
        <w:t xml:space="preserve">Whether an above-threshold borrower has a reduction</w:t>
      </w:r>
      <w:r>
        <w:t xml:space="preserve"> </w:t>
      </w:r>
      <w:r>
        <w:t xml:space="preserve">target is</w:t>
      </w:r>
      <w:r>
        <w:t xml:space="preserve"> </w:t>
      </w:r>
      <w:r>
        <w:rPr>
          <w:rStyle w:val="VerbatimChar"/>
        </w:rPr>
        <w:t xml:space="preserve">stableHash(...) % 100 &lt; 15</w:t>
      </w:r>
      <w:r>
        <w:t xml:space="preserve"> </w:t>
      </w:r>
      <w:r>
        <w:t xml:space="preserve">(</w:t>
      </w:r>
      <w:r>
        <w:rPr>
          <w:rStyle w:val="VerbatimChar"/>
        </w:rPr>
        <w:t xml:space="preserve">climate/infer.ts:250</w:t>
      </w:r>
      <w:r>
        <w:t xml:space="preserve">), with four canned target strings. It</w:t>
      </w:r>
      <w:r>
        <w:t xml:space="preserve"> </w:t>
      </w:r>
      <w:r>
        <w:t xml:space="preserve">is labelled</w:t>
      </w:r>
      <w:r>
        <w:t xml:space="preserve"> </w:t>
      </w:r>
      <w:r>
        <w:t xml:space="preserve">“</w:t>
      </w:r>
      <w:r>
        <w:t xml:space="preserve">demo only</w:t>
      </w:r>
      <w:r>
        <w:t xml:space="preserve">”</w:t>
      </w:r>
      <w:r>
        <w:t xml:space="preserve"> </w:t>
      </w:r>
      <w:r>
        <w:t xml:space="preserve">but lives outside</w:t>
      </w:r>
      <w:r>
        <w:t xml:space="preserve"> </w:t>
      </w:r>
      <w:r>
        <w:rPr>
          <w:rStyle w:val="VerbatimChar"/>
        </w:rPr>
        <w:t xml:space="preserve">lib/demo/</w:t>
      </w:r>
      <w:r>
        <w:t xml:space="preserve">, so a live build inherits it. This feeds the</w:t>
      </w:r>
      <w:r>
        <w:t xml:space="preserve"> </w:t>
      </w:r>
      <w:r>
        <w:t xml:space="preserve">NFRS tab’s climate-threshold counters.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One undated FX rate.</w:t>
      </w:r>
      <w:r>
        <w:t xml:space="preserve"> </w:t>
      </w:r>
      <w:r>
        <w:rPr>
          <w:rStyle w:val="VerbatimChar"/>
        </w:rPr>
        <w:t xml:space="preserve">NPR_PER_USD = 133.5</w:t>
      </w:r>
      <w:r>
        <w:t xml:space="preserve"> </w:t>
      </w:r>
      <w:r>
        <w:t xml:space="preserve">(</w:t>
      </w:r>
      <w:r>
        <w:rPr>
          <w:rStyle w:val="VerbatimChar"/>
        </w:rPr>
        <w:t xml:space="preserve">units.ts:19</w:t>
      </w:r>
      <w:r>
        <w:t xml:space="preserve">), used for every conversion; its own</w:t>
      </w:r>
      <w:r>
        <w:t xml:space="preserve"> </w:t>
      </w:r>
      <w:r>
        <w:t xml:space="preserve">docstring notes a disclosure needs a dated rate. S1 §24 requires the presentation currency of the</w:t>
      </w:r>
      <w:r>
        <w:t xml:space="preserve"> </w:t>
      </w:r>
      <w:r>
        <w:t xml:space="preserve">related financial statements.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Period boundaries hardcoded in four places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nfrs-tab.tsx:72</w:t>
      </w:r>
      <w:r>
        <w:t xml:space="preserve"> </w:t>
      </w:r>
      <w:r>
        <w:t xml:space="preserve">(</w:t>
      </w:r>
      <w:r>
        <w:rPr>
          <w:rStyle w:val="VerbatimChar"/>
        </w:rPr>
        <w:t xml:space="preserve">"2024"</w:t>
      </w:r>
      <w:r>
        <w:t xml:space="preserve">),</w:t>
      </w:r>
      <w:r>
        <w:t xml:space="preserve"> </w:t>
      </w:r>
      <w:r>
        <w:rPr>
          <w:rStyle w:val="VerbatimChar"/>
        </w:rPr>
        <w:t xml:space="preserve">:37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:417</w:t>
      </w:r>
      <w:r>
        <w:t xml:space="preserve"> </w:t>
      </w:r>
      <w:r>
        <w:t xml:space="preserve">(</w:t>
      </w:r>
      <w:r>
        <w:rPr>
          <w:rStyle w:val="VerbatimChar"/>
        </w:rPr>
        <w:t xml:space="preserve">year &lt; 2025</w:t>
      </w:r>
      <w:r>
        <w:t xml:space="preserve">),</w:t>
      </w:r>
      <w:r>
        <w:t xml:space="preserve"> </w:t>
      </w:r>
      <w:r>
        <w:rPr>
          <w:rStyle w:val="VerbatimChar"/>
        </w:rPr>
        <w:t xml:space="preserve">charts.tsx:189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partialFromYear = 2025</w:t>
      </w:r>
      <w:r>
        <w:t xml:space="preserve">), against</w:t>
      </w:r>
      <w:r>
        <w:t xml:space="preserve"> </w:t>
      </w:r>
      <w:r>
        <w:rPr>
          <w:rStyle w:val="VerbatimChar"/>
        </w:rPr>
        <w:t xml:space="preserve">reporting/periods.ts:21–35</w:t>
      </w:r>
      <w:r>
        <w:t xml:space="preserve">.</w:t>
      </w:r>
      <w:r>
        <w:t xml:space="preserve"> </w:t>
      </w:r>
      <w:r>
        <w:rPr>
          <w:rStyle w:val="VerbatimChar"/>
        </w:rPr>
        <w:t xml:space="preserve">AS_OF_DATE = "2026-05-01"</w:t>
      </w:r>
      <w:r>
        <w:t xml:space="preserve"> </w:t>
      </w:r>
      <w:r>
        <w:t xml:space="preserve">(</w:t>
      </w:r>
      <w:r>
        <w:rPr>
          <w:rStyle w:val="VerbatimChar"/>
        </w:rPr>
        <w:t xml:space="preserve">synth-util.ts:19</w:t>
      </w:r>
      <w:r>
        <w:t xml:space="preserve">) disagrees with the</w:t>
      </w:r>
      <w:r>
        <w:t xml:space="preserve"> </w:t>
      </w:r>
      <w:r>
        <w:rPr>
          <w:rStyle w:val="VerbatimChar"/>
        </w:rPr>
        <w:t xml:space="preserve">/api/pcaf/scores</w:t>
      </w:r>
      <w:r>
        <w:t xml:space="preserve"> </w:t>
      </w:r>
      <w:r>
        <w:t xml:space="preserve">docstring’s</w:t>
      </w:r>
      <w:r>
        <w:t xml:space="preserve"> </w:t>
      </w:r>
      <w:r>
        <w:rPr>
          <w:rStyle w:val="VerbatimChar"/>
        </w:rPr>
        <w:t xml:space="preserve">"2025-10-31"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bankClassForTenant()</w:t>
      </w:r>
      <w:r>
        <w:rPr>
          <w:b/>
        </w:rPr>
        <w:t xml:space="preserve"> </w:t>
      </w:r>
      <w:r>
        <w:rPr>
          <w:b/>
        </w:rPr>
        <w:t xml:space="preserve">returns</w:t>
      </w:r>
      <w:r>
        <w:rPr>
          <w:b/>
        </w:rPr>
        <w:t xml:space="preserve"> </w:t>
      </w:r>
      <w:r>
        <w:rPr>
          <w:rStyle w:val="VerbatimChar"/>
          <w:b/>
        </w:rPr>
        <w:t xml:space="preserve">"A"</w:t>
      </w:r>
      <w:r>
        <w:rPr>
          <w:b/>
        </w:rPr>
        <w:t xml:space="preserve"> </w:t>
      </w:r>
      <w:r>
        <w:rPr>
          <w:b/>
        </w:rPr>
        <w:t xml:space="preserve">unconditionally</w:t>
      </w:r>
      <w:r>
        <w:t xml:space="preserve">, ignoring its argument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nrbsis-green-statement.ts:239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Xef1deaa3f998c4e259e528dd1fba83b17d18d1c"/>
      <w:r>
        <w:t xml:space="preserve">7. Two things to verify before relying on them</w:t>
      </w:r>
      <w:bookmarkEnd w:id="30"/>
    </w:p>
    <w:p>
      <w:pPr>
        <w:pStyle w:val="FirstParagraph"/>
      </w:pPr>
      <w:r>
        <w:rPr>
          <w:b/>
        </w:rPr>
        <w:t xml:space="preserve">The drafts may track the wrong vintage of IFRS S2.</w:t>
      </w:r>
      <w:r>
        <w:t xml:space="preserve"> </w:t>
      </w:r>
      <w:r>
        <w:t xml:space="preserve">They appear to follow the original June 2023 text</w:t>
      </w:r>
      <w:r>
        <w:t xml:space="preserve"> </w:t>
      </w:r>
      <w:r>
        <w:t xml:space="preserve">rather than the ISSB’s</w:t>
      </w:r>
      <w:r>
        <w:t xml:space="preserve"> </w:t>
      </w:r>
      <w:r>
        <w:rPr>
          <w:i/>
        </w:rPr>
        <w:t xml:space="preserve">Amendments to Greenhouse Gas Emissions Disclosures</w:t>
      </w:r>
      <w:r>
        <w:t xml:space="preserve"> </w:t>
      </w:r>
      <w:r>
        <w:t xml:space="preserve">of December 2024. Two tells</w:t>
      </w:r>
      <w:r>
        <w:t xml:space="preserve"> </w:t>
      </w:r>
      <w:r>
        <w:t xml:space="preserve">inside the PDFs: B21–B22 require latest-IPCC 100-year GWPs with no jurisdictional carve-out, and</w:t>
      </w:r>
      <w:r>
        <w:t xml:space="preserve"> </w:t>
      </w:r>
      <w:r>
        <w:t xml:space="preserve">B62(a)(i) mandates GICS with no permitted alternative — both points those amendments relaxed. If that</w:t>
      </w:r>
      <w:r>
        <w:t xml:space="preserve"> </w:t>
      </w:r>
      <w:r>
        <w:t xml:space="preserve">holds, Nepali banks are being asked for a proprietary classification that the ISSB itself has since made</w:t>
      </w:r>
      <w:r>
        <w:t xml:space="preserve"> </w:t>
      </w:r>
      <w:r>
        <w:t xml:space="preserve">optional, which is a substantive comment worth routing to ASB Nepal through NRB or IFC.</w:t>
      </w:r>
    </w:p>
    <w:p>
      <w:pPr>
        <w:pStyle w:val="BodyText"/>
      </w:pPr>
      <w:r>
        <w:rPr>
          <w:b/>
        </w:rPr>
        <w:t xml:space="preserve">This has not been verified against the ISSB source</w:t>
      </w:r>
      <w:r>
        <w:t xml:space="preserve"> </w:t>
      </w:r>
      <w:r>
        <w:t xml:space="preserve">and should be before it is raised with anyone</w:t>
      </w:r>
      <w:r>
        <w:t xml:space="preserve"> </w:t>
      </w:r>
      <w:r>
        <w:t xml:space="preserve">outside Jana.</w:t>
      </w:r>
    </w:p>
    <w:p>
      <w:pPr>
        <w:pStyle w:val="BodyText"/>
      </w:pPr>
      <w:r>
        <w:rPr>
          <w:b/>
        </w:rPr>
        <w:t xml:space="preserve">The disclosure preview cites a paragraph that may not support it.</w:t>
      </w:r>
      <w:r>
        <w:t xml:space="preserve"> </w:t>
      </w:r>
      <w:r>
        <w:t xml:space="preserve">The methodology note prints</w:t>
      </w:r>
      <w:r>
        <w:t xml:space="preserve"> </w:t>
      </w:r>
      <w:r>
        <w:t xml:space="preserve">“</w:t>
      </w:r>
      <w:r>
        <w:t xml:space="preserve">PCAF Global GHG Accounting and Reporting Standard (Part A, Chapter 5), IFRS S2 §29, NFRS draft §17(b)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nfrs-tab.tsx:468–473</w:t>
      </w:r>
      <w:r>
        <w:t xml:space="preserve">). §29 is right.</w:t>
      </w:r>
      <w:r>
        <w:t xml:space="preserve"> </w:t>
      </w:r>
      <w:r>
        <w:rPr>
          <w:b/>
        </w:rPr>
        <w:t xml:space="preserve">§17(b)</w:t>
      </w:r>
      <w:r>
        <w:t xml:space="preserve"> </w:t>
      </w:r>
      <w:r>
        <w:t xml:space="preserve">does not obviously support a financed-emissions claim</w:t>
      </w:r>
      <w:r>
        <w:t xml:space="preserve"> </w:t>
      </w:r>
      <w:r>
        <w:t xml:space="preserve">in either standard — S1 §17 is the materiality requirement, S2 §17 concerns anticipated financial</w:t>
      </w:r>
      <w:r>
        <w:t xml:space="preserve"> </w:t>
      </w:r>
      <w:r>
        <w:t xml:space="preserve">effects. Check it, and correct or remove it.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build-order"/>
      <w:r>
        <w:t xml:space="preserve">8. Build order</w:t>
      </w:r>
      <w:bookmarkEnd w:id="31"/>
    </w:p>
    <w:p>
      <w:pPr>
        <w:pStyle w:val="FirstParagraph"/>
      </w:pPr>
      <w:r>
        <w:t xml:space="preserve">Sequenced by regulatory weight against effort, not by ease.</w:t>
      </w:r>
    </w:p>
    <w:p>
      <w:pPr>
        <w:pStyle w:val="BodyText"/>
      </w:pPr>
      <w:r>
        <w:rPr>
          <w:b/>
        </w:rPr>
        <w:t xml:space="preserve">Tier 1 — makes the existing number defensible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B62(b) and (c) properly.</w:t>
      </w:r>
      <w:r>
        <w:t xml:space="preserve"> </w:t>
      </w:r>
      <w:r>
        <w:t xml:space="preserve">Gross exposure before loss allowance, the percentage of gross exposure</w:t>
      </w:r>
      <w:r>
        <w:t xml:space="preserve"> </w:t>
      </w:r>
      <w:r>
        <w:t xml:space="preserve">included, the asset types excluded, risk mitigants excluded, undrawn commitments stated separately.</w:t>
      </w:r>
      <w:r>
        <w:t xml:space="preserve"> </w:t>
      </w:r>
      <w:r>
        <w:t xml:space="preserve">This is arithmetic over data we largely hold, and without it the financed-emissions figure does not</w:t>
      </w:r>
      <w:r>
        <w:t xml:space="preserve"> </w:t>
      </w:r>
      <w:r>
        <w:t xml:space="preserve">meet the paragraph it claims.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B62(a) disaggregation</w:t>
      </w:r>
      <w:r>
        <w:t xml:space="preserve"> </w:t>
      </w:r>
      <w:r>
        <w:t xml:space="preserve">— industry × asset class. Requires a GICS mapping (or the ISSB relief, if</w:t>
      </w:r>
      <w:r>
        <w:t xml:space="preserve"> </w:t>
      </w:r>
      <w:r>
        <w:t xml:space="preserve">the vintage question resolves in our favour) and a real asset-class router rather than one that can</w:t>
      </w:r>
      <w:r>
        <w:t xml:space="preserve"> </w:t>
      </w:r>
      <w:r>
        <w:t xml:space="preserve">reach five values.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§29(a)(iii) and B55–B56</w:t>
      </w:r>
      <w:r>
        <w:t xml:space="preserve"> </w:t>
      </w:r>
      <w:r>
        <w:t xml:space="preserve">— measurement approach, inputs, assumptions, changes and reasons; extent</w:t>
      </w:r>
      <w:r>
        <w:t xml:space="preserve"> </w:t>
      </w:r>
      <w:r>
        <w:t xml:space="preserve">of primary-activity data; extent of verified data. The PCAF evidence matrix already holds most of</w:t>
      </w:r>
      <w:r>
        <w:t xml:space="preserve"> </w:t>
      </w:r>
      <w:r>
        <w:t xml:space="preserve">what this needs.</w:t>
      </w:r>
    </w:p>
    <w:p>
      <w:pPr>
        <w:numPr>
          <w:ilvl w:val="0"/>
          <w:numId w:val="1004"/>
        </w:numPr>
        <w:pStyle w:val="Compact"/>
      </w:pPr>
      <w:r>
        <w:t xml:space="preserve">Remove the demo-only rules from</w:t>
      </w:r>
      <w:r>
        <w:t xml:space="preserve"> </w:t>
      </w:r>
      <w:r>
        <w:rPr>
          <w:rStyle w:val="VerbatimChar"/>
        </w:rPr>
        <w:t xml:space="preserve">lib/regulatory/</w:t>
      </w:r>
      <w:r>
        <w:t xml:space="preserve"> </w:t>
      </w:r>
      <w:r>
        <w:t xml:space="preserve">and the hardcoded name lists from the scoring path.</w:t>
      </w:r>
    </w:p>
    <w:p>
      <w:pPr>
        <w:pStyle w:val="FirstParagraph"/>
      </w:pPr>
      <w:r>
        <w:rPr>
          <w:b/>
        </w:rPr>
        <w:t xml:space="preserve">Tier 2 — the bank’s own footprint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Scope 1 and location-based Scope 2</w:t>
      </w:r>
      <w:r>
        <w:t xml:space="preserve"> </w:t>
      </w:r>
      <w:r>
        <w:t xml:space="preserve">capture. Small data model, mandatory disclosure, and currently</w:t>
      </w:r>
      <w:r>
        <w:t xml:space="preserve"> </w:t>
      </w:r>
      <w:r>
        <w:t xml:space="preserve">a conspicuous hole in a product called a financed emissions platform.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Seven-gas model</w:t>
      </w:r>
      <w:r>
        <w:t xml:space="preserve"> </w:t>
      </w:r>
      <w:r>
        <w:t xml:space="preserve">with latest-IPCC GWPs, and correct the two CO₂-labelled-as-CO₂e factors.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B27 consolidation approach</w:t>
      </w:r>
      <w:r>
        <w:t xml:space="preserve"> </w:t>
      </w:r>
      <w:r>
        <w:t xml:space="preserve">as a configured, disclosed property.</w:t>
      </w:r>
    </w:p>
    <w:p>
      <w:pPr>
        <w:pStyle w:val="FirstParagraph"/>
      </w:pPr>
      <w:r>
        <w:rPr>
          <w:b/>
        </w:rPr>
        <w:t xml:space="preserve">Tier 3 — the other three pillars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Governance, strategy and risk management narrative capture</w:t>
      </w:r>
      <w:r>
        <w:t xml:space="preserve"> </w:t>
      </w:r>
      <w:r>
        <w:t xml:space="preserve">(§6, §§10–21, §25). These are</w:t>
      </w:r>
      <w:r>
        <w:t xml:space="preserve"> </w:t>
      </w:r>
      <w:r>
        <w:t xml:space="preserve">structured text with evidence attachment, not modelling — closer to the ESDD wizard than to the PCAF</w:t>
      </w:r>
      <w:r>
        <w:t xml:space="preserve"> </w:t>
      </w:r>
      <w:r>
        <w:t xml:space="preserve">engine, and a natural extension of surfaces we already have.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Targets</w:t>
      </w:r>
      <w:r>
        <w:t xml:space="preserve"> </w:t>
      </w:r>
      <w:r>
        <w:t xml:space="preserve">(§§33–36), including gases and scopes covered, base period, milestones, gross versus net,</w:t>
      </w:r>
      <w:r>
        <w:t xml:space="preserve"> </w:t>
      </w:r>
      <w:r>
        <w:t xml:space="preserve">and planned use of carbon credits.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Scenario analysis and climate resilience</w:t>
      </w:r>
      <w:r>
        <w:t xml:space="preserve"> </w:t>
      </w:r>
      <w:r>
        <w:t xml:space="preserve">(§22, B1–B18). The largest single build, and the one</w:t>
      </w:r>
      <w:r>
        <w:t xml:space="preserve"> </w:t>
      </w:r>
      <w:r>
        <w:t xml:space="preserve">the Additional Risk Modules catalogue is really describing — physical hazard modelling carried</w:t>
      </w:r>
      <w:r>
        <w:t xml:space="preserve"> </w:t>
      </w:r>
      <w:r>
        <w:t xml:space="preserve">through to financial effect is exactly what §22(a) asks a bank to assess.</w:t>
      </w:r>
    </w:p>
    <w:p>
      <w:pPr>
        <w:pStyle w:val="FirstParagraph"/>
      </w:pPr>
      <w:r>
        <w:rPr>
          <w:b/>
        </w:rPr>
        <w:t xml:space="preserve">Tier 4 — presentation</w:t>
      </w:r>
    </w:p>
    <w:p>
      <w:pPr>
        <w:numPr>
          <w:ilvl w:val="0"/>
          <w:numId w:val="1007"/>
        </w:numPr>
        <w:pStyle w:val="Compact"/>
      </w:pPr>
      <w:r>
        <w:t xml:space="preserve">Comparatives and restatement (S1 §70, B49–B53); materiality judgements (§74); connected information</w:t>
      </w:r>
      <w:r>
        <w:t xml:space="preserve"> </w:t>
      </w:r>
      <w:r>
        <w:t xml:space="preserve">(§21, B39–B44).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what-to-say-to-a-bank"/>
      <w:r>
        <w:t xml:space="preserve">9. What to say to a bank</w:t>
      </w:r>
      <w:bookmarkEnd w:id="32"/>
    </w:p>
    <w:p>
      <w:pPr>
        <w:pStyle w:val="FirstParagraph"/>
      </w:pPr>
      <w:r>
        <w:t xml:space="preserve">Three claims that survive this analysis:</w:t>
      </w:r>
    </w:p>
    <w:p>
      <w:pPr>
        <w:numPr>
          <w:ilvl w:val="0"/>
          <w:numId w:val="1008"/>
        </w:numPr>
        <w:pStyle w:val="Compact"/>
      </w:pPr>
      <w:r>
        <w:t xml:space="preserve">The platform produces a financed-emissions figure with a documented allocation method and a stated</w:t>
      </w:r>
      <w:r>
        <w:t xml:space="preserve"> </w:t>
      </w:r>
      <w:r>
        <w:t xml:space="preserve">evidence basis — which is what B62(d) and B55–B56 ask for, and more than a spreadsheet of sector</w:t>
      </w:r>
      <w:r>
        <w:t xml:space="preserve"> </w:t>
      </w:r>
      <w:r>
        <w:t xml:space="preserve">averages provides.</w:t>
      </w:r>
    </w:p>
    <w:p>
      <w:pPr>
        <w:numPr>
          <w:ilvl w:val="0"/>
          <w:numId w:val="1008"/>
        </w:numPr>
        <w:pStyle w:val="Compact"/>
      </w:pPr>
      <w:r>
        <w:t xml:space="preserve">Financed emissions are a</w:t>
      </w:r>
      <w:r>
        <w:t xml:space="preserve"> </w:t>
      </w:r>
      <w:r>
        <w:rPr>
          <w:b/>
        </w:rPr>
        <w:t xml:space="preserve">year-two</w:t>
      </w:r>
      <w:r>
        <w:t xml:space="preserve"> </w:t>
      </w:r>
      <w:r>
        <w:t xml:space="preserve">obligation under C4(b), with no effective date set. The work to</w:t>
      </w:r>
      <w:r>
        <w:t xml:space="preserve"> </w:t>
      </w:r>
      <w:r>
        <w:t xml:space="preserve">do now is building the borrower and facility data that makes a year-two number possible, because that</w:t>
      </w:r>
      <w:r>
        <w:t xml:space="preserve"> </w:t>
      </w:r>
      <w:r>
        <w:t xml:space="preserve">data cannot be assembled retrospectively.</w:t>
      </w:r>
    </w:p>
    <w:p>
      <w:pPr>
        <w:numPr>
          <w:ilvl w:val="0"/>
          <w:numId w:val="1008"/>
        </w:numPr>
        <w:pStyle w:val="Compact"/>
      </w:pPr>
      <w:r>
        <w:t xml:space="preserve">Scenario analysis under §22 is mandatory and quantitative for a bank with material exposure and the</w:t>
      </w:r>
      <w:r>
        <w:t xml:space="preserve"> </w:t>
      </w:r>
      <w:r>
        <w:t xml:space="preserve">resources to do it. That is the bridge from this platform to the additional risk modules, and it is a</w:t>
      </w:r>
      <w:r>
        <w:t xml:space="preserve"> </w:t>
      </w:r>
      <w:r>
        <w:t xml:space="preserve">regulatory argument rather than a sales one.</w:t>
      </w:r>
    </w:p>
    <w:p>
      <w:pPr>
        <w:pStyle w:val="FirstParagraph"/>
      </w:pPr>
      <w:r>
        <w:t xml:space="preserve">One claim to retire: that the platform delivers NFRS S1/S2 disclosure. It delivers part of one paragraph</w:t>
      </w:r>
      <w:r>
        <w:t xml:space="preserve"> </w:t>
      </w:r>
      <w:r>
        <w:t xml:space="preserve">of S2, plus the operational evidence trail underneath it. Said plainly, that is still a good story.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b3cbbdee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4fbe019a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NFRS S1 / S2 — Gap Analysis</dc:title>
  <dc:creator>Jana Earth Data</dc:creator>
  <cp:keywords/>
  <dcterms:created xsi:type="dcterms:W3CDTF">2026-09-18T04:57:08Z</dcterms:created>
  <dcterms:modified xsi:type="dcterms:W3CDTF">2026-09-18T04:57:08Z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September 2026</vt:lpwstr>
  </property>
  <property fmtid="{D5CDD505-2E9C-101B-9397-08002B2CF9AE}" pid="3" name="subtitle">
    <vt:lpwstr>What the standards require, what the platform produces, and what is missing</vt:lpwstr>
  </property>
</Properties>
</file>