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0F5132"/>
          <w:sz w:val="56"/>
          <w:szCs w:val="56"/>
        </w:rPr>
        <w:t xml:space="preserve">Financed Emissions Dashboard</w:t>
      </w:r>
    </w:p>
    <w:p>
      <w:pPr>
        <w:spacing w:after="800"/>
        <w:jc w:val="center"/>
      </w:pPr>
      <w:r>
        <w:rPr>
          <w:rFonts w:ascii="Calibri" w:cs="Calibri" w:eastAsia="Calibri" w:hAnsi="Calibri"/>
          <w:b/>
          <w:bCs/>
          <w:color w:val="334155"/>
          <w:sz w:val="40"/>
          <w:szCs w:val="40"/>
        </w:rPr>
        <w:t xml:space="preserve">User's Manual</w:t>
      </w:r>
    </w:p>
    <w:p>
      <w:pPr>
        <w:spacing w:after="100"/>
        <w:jc w:val="center"/>
      </w:pPr>
      <w:r>
        <w:rPr>
          <w:rFonts w:ascii="Calibri" w:cs="Calibri" w:eastAsia="Calibri" w:hAnsi="Calibri"/>
          <w:i/>
          <w:iCs/>
          <w:color w:val="334155"/>
          <w:sz w:val="24"/>
          <w:szCs w:val="24"/>
        </w:rPr>
        <w:t xml:space="preserve">Reference demonstration for commercial banks in Nepal</w:t>
      </w:r>
    </w:p>
    <w:p>
      <w:pPr>
        <w:spacing w:after="100"/>
        <w:jc w:val="center"/>
      </w:pPr>
      <w:r>
        <w:rPr>
          <w:rFonts w:ascii="Calibri" w:cs="Calibri" w:eastAsia="Calibri" w:hAnsi="Calibri"/>
          <w:color w:val="334155"/>
          <w:sz w:val="22"/>
          <w:szCs w:val="22"/>
        </w:rPr>
        <w:t xml:space="preserve">Demonstration Build  |  v0.2 (Draft for review)</w:t>
      </w:r>
    </w:p>
    <w:p>
      <w:pPr>
        <w:spacing w:after="1200"/>
        <w:jc w:val="center"/>
      </w:pPr>
      <w:r>
        <w:rPr>
          <w:rFonts w:ascii="Calibri" w:cs="Calibri" w:eastAsia="Calibri" w:hAnsi="Calibri"/>
          <w:color w:val="334155"/>
          <w:sz w:val="22"/>
          <w:szCs w:val="22"/>
        </w:rPr>
        <w:t xml:space="preserve">November 2026</w:t>
      </w:r>
    </w:p>
    <w:p>
      <w:pPr>
        <w:spacing w:after="400"/>
        <w:jc w:val="center"/>
      </w:pPr>
      <w:r>
        <w:rPr>
          <w:rFonts w:ascii="Calibri" w:cs="Calibri" w:eastAsia="Calibri" w:hAnsi="Calibri"/>
          <w:b/>
          <w:bCs/>
          <w:color w:val="0F5132"/>
          <w:sz w:val="22"/>
          <w:szCs w:val="22"/>
        </w:rPr>
        <w:t xml:space="preserve">Published by Jana Earth Data</w:t>
      </w:r>
    </w:p>
    <w:tbl>
      <w:tblPr>
        <w:tblW w:type="dxa" w:w="9360"/>
        <w:tblBorders>
          <w:top w:val="single" w:color="F59E0B" w:sz="12"/>
          <w:left w:val="single" w:color="F59E0B" w:sz="12"/>
          <w:bottom w:val="single" w:color="F59E0B" w:sz="12"/>
          <w:right w:val="single" w:color="F59E0B" w:sz="12"/>
          <w:insideH w:val="none" w:color="auto" w:sz="0"/>
          <w:insideV w:val="none" w:color="auto" w:sz="0"/>
        </w:tblBorders>
      </w:tblPr>
      <w:tblGrid>
        <w:gridCol w:w="9360"/>
      </w:tblGrid>
      <w:tr>
        <w:tc>
          <w:tcPr>
            <w:tcW w:type="dxa" w:w="9360"/>
            <w:shd w:fill="FEF3C7" w:color="auto" w:val="clear"/>
            <w:tcMar>
              <w:top w:type="dxa" w:w="160"/>
              <w:left w:type="dxa" w:w="200"/>
              <w:bottom w:type="dxa" w:w="160"/>
              <w:right w:type="dxa" w:w="200"/>
            </w:tcMar>
          </w:tcPr>
          <w:p>
            <w:pPr>
              <w:spacing w:after="100"/>
            </w:pPr>
            <w:r>
              <w:rPr>
                <w:rFonts w:ascii="Calibri" w:cs="Calibri" w:eastAsia="Calibri" w:hAnsi="Calibri"/>
                <w:b/>
                <w:bCs/>
                <w:color w:val="334155"/>
                <w:sz w:val="22"/>
                <w:szCs w:val="22"/>
              </w:rPr>
              <w:t xml:space="preserve">DEMO PURPOSES ONLY</w:t>
            </w:r>
          </w:p>
          <w:p>
            <w:pPr>
              <w:spacing w:after="0"/>
              <w:jc w:val="center"/>
            </w:pPr>
            <w:r>
              <w:rPr>
                <w:rFonts w:ascii="Calibri" w:cs="Calibri" w:eastAsia="Calibri" w:hAnsi="Calibri"/>
                <w:sz w:val="22"/>
                <w:szCs w:val="22"/>
              </w:rPr>
              <w:t xml:space="preserve">This document accompanies a non-production demonstration build of the Financed Emissions Dashboard, made available as a reference to commercial banks in Nepal. The example bank shown in the dashboard is hypothetical and is used only to make the screens concrete.</w:t>
            </w:r>
          </w:p>
        </w:tc>
      </w:tr>
    </w:tbl>
    <w:p>
      <w:r>
        <w:br w:type="page"/>
      </w:r>
    </w:p>
    <w:p>
      <w:pPr>
        <w:pStyle w:val="Heading1"/>
        <w:spacing w:after="160" w:before="320"/>
      </w:pPr>
      <w:r>
        <w:rPr>
          <w:rFonts w:ascii="Calibri" w:cs="Calibri" w:eastAsia="Calibri" w:hAnsi="Calibri"/>
          <w:b/>
          <w:bCs/>
          <w:color w:val="0F5132"/>
          <w:sz w:val="40"/>
          <w:szCs w:val="40"/>
        </w:rPr>
        <w:t xml:space="preserve">Important Notice</w:t>
      </w:r>
    </w:p>
    <w:p>
      <w:pPr>
        <w:pStyle w:val="Heading3"/>
        <w:spacing w:after="80" w:before="180"/>
      </w:pPr>
      <w:r>
        <w:rPr>
          <w:rFonts w:ascii="Calibri" w:cs="Calibri" w:eastAsia="Calibri" w:hAnsi="Calibri"/>
          <w:b/>
          <w:bCs/>
          <w:color w:val="334155"/>
          <w:sz w:val="24"/>
          <w:szCs w:val="24"/>
        </w:rPr>
        <w:t xml:space="preserve">About this demonstration</w:t>
      </w:r>
    </w:p>
    <w:p>
      <w:pPr>
        <w:spacing w:after="120"/>
      </w:pPr>
      <w:r>
        <w:rPr>
          <w:rFonts w:ascii="Calibri" w:cs="Calibri" w:eastAsia="Calibri" w:hAnsi="Calibri"/>
          <w:sz w:val="22"/>
          <w:szCs w:val="22"/>
        </w:rPr>
        <w:t xml:space="preserve">This is a non-production demonstration of the Financed Emissions Dashboard, made available as a reference to commercial banks in Nepal. It is not a regulatory filing tool, and the outputs shown here are not suitable for use in NRB submissions, NFRS disclosure, audit, or external reporting. The example bank shown in the dashboard (First Bank of Nepal by default, or Laxmi Sunrise Bank if the corresponding access code has been provided) is either hypothetical or configured with synthesized data, and is used only to make the screens concrete.</w:t>
      </w:r>
    </w:p>
    <w:p>
      <w:pPr>
        <w:pStyle w:val="Heading3"/>
        <w:spacing w:after="80" w:before="180"/>
      </w:pPr>
      <w:r>
        <w:rPr>
          <w:rFonts w:ascii="Calibri" w:cs="Calibri" w:eastAsia="Calibri" w:hAnsi="Calibri"/>
          <w:b/>
          <w:bCs/>
          <w:color w:val="334155"/>
          <w:sz w:val="24"/>
          <w:szCs w:val="24"/>
        </w:rPr>
        <w:t xml:space="preserve">What is real in this demonstration</w:t>
      </w:r>
    </w:p>
    <w:p>
      <w:pPr>
        <w:spacing w:after="120"/>
      </w:pPr>
      <w:r>
        <w:rPr>
          <w:rFonts w:ascii="Calibri" w:cs="Calibri" w:eastAsia="Calibri" w:hAnsi="Calibri"/>
          <w:sz w:val="22"/>
          <w:szCs w:val="22"/>
        </w:rPr>
        <w:t xml:space="preserve">The reference emissions data underneath the dashboard is drawn from public sources that the Jana platform has ingested and stabilised. Specifically, the dashboard references:</w:t>
      </w:r>
    </w:p>
    <w:p>
      <w:pPr>
        <w:pStyle w:val="ListParagraph"/>
        <w:numPr>
          <w:ilvl w:val="0"/>
          <w:numId w:val="2"/>
        </w:numPr>
        <w:spacing w:after="80"/>
      </w:pPr>
      <w:r>
        <w:rPr>
          <w:rFonts w:ascii="Calibri" w:cs="Calibri" w:eastAsia="Calibri" w:hAnsi="Calibri"/>
          <w:sz w:val="22"/>
          <w:szCs w:val="22"/>
        </w:rPr>
        <w:t xml:space="preserve">Climate TRACE v5.6 (2024) facility-level CO2-equivalent emissions for 213 Nepal assets, summing to approximately 28.04 Mt CO2e.</w:t>
      </w:r>
    </w:p>
    <w:p>
      <w:pPr>
        <w:pStyle w:val="ListParagraph"/>
        <w:numPr>
          <w:ilvl w:val="0"/>
          <w:numId w:val="2"/>
        </w:numPr>
        <w:spacing w:after="80"/>
      </w:pPr>
      <w:r>
        <w:rPr>
          <w:rFonts w:ascii="Calibri" w:cs="Calibri" w:eastAsia="Calibri" w:hAnsi="Calibri"/>
          <w:sz w:val="22"/>
          <w:szCs w:val="22"/>
        </w:rPr>
        <w:t xml:space="preserve">EDGAR v8.1 gridded national CO2, polygon-clipped to the Nepal administrative boundary, yielding 1,343 cells and an estimated 18.81 Mt national CO2 for the latest available year.</w:t>
      </w:r>
    </w:p>
    <w:p>
      <w:pPr>
        <w:pStyle w:val="ListParagraph"/>
        <w:numPr>
          <w:ilvl w:val="0"/>
          <w:numId w:val="2"/>
        </w:numPr>
        <w:spacing w:after="80"/>
      </w:pPr>
      <w:r>
        <w:rPr>
          <w:rFonts w:ascii="Calibri" w:cs="Calibri" w:eastAsia="Calibri" w:hAnsi="Calibri"/>
          <w:sz w:val="22"/>
          <w:szCs w:val="22"/>
        </w:rPr>
        <w:t xml:space="preserve">Global Cement and Concrete Tracker (July 2025) for 61 operating cement plants in Nepal, with capacity and owner metadata.</w:t>
      </w:r>
    </w:p>
    <w:p>
      <w:pPr>
        <w:pStyle w:val="ListParagraph"/>
        <w:numPr>
          <w:ilvl w:val="0"/>
          <w:numId w:val="2"/>
        </w:numPr>
        <w:spacing w:after="80"/>
      </w:pPr>
      <w:r>
        <w:rPr>
          <w:rFonts w:ascii="Calibri" w:cs="Calibri" w:eastAsia="Calibri" w:hAnsi="Calibri"/>
          <w:sz w:val="22"/>
          <w:szCs w:val="22"/>
        </w:rPr>
        <w:t xml:space="preserve">NRB Environmental and Social Risk Management (ESRM) Guidelines, Second Edition (2022), issued as Circular 22. Annex 5 (E&amp;S Due Diligence) and Annex 5b (Project Finance Screening) drive the ESDD and PF wizards.</w:t>
      </w:r>
    </w:p>
    <w:p>
      <w:pPr>
        <w:pStyle w:val="ListParagraph"/>
        <w:numPr>
          <w:ilvl w:val="0"/>
          <w:numId w:val="2"/>
        </w:numPr>
        <w:spacing w:after="80"/>
      </w:pPr>
      <w:r>
        <w:rPr>
          <w:rFonts w:ascii="Calibri" w:cs="Calibri" w:eastAsia="Calibri" w:hAnsi="Calibri"/>
          <w:sz w:val="22"/>
          <w:szCs w:val="22"/>
        </w:rPr>
        <w:t xml:space="preserve">NRB Green Finance Taxonomy (October 2024) categorisation of bank lending activities into green, amber, red and unclassified, with the Annex 4b annual filing schedule.</w:t>
      </w:r>
    </w:p>
    <w:p>
      <w:pPr>
        <w:pStyle w:val="ListParagraph"/>
        <w:numPr>
          <w:ilvl w:val="0"/>
          <w:numId w:val="2"/>
        </w:numPr>
        <w:spacing w:after="80"/>
      </w:pPr>
      <w:r>
        <w:rPr>
          <w:rFonts w:ascii="Calibri" w:cs="Calibri" w:eastAsia="Calibri" w:hAnsi="Calibri"/>
          <w:sz w:val="22"/>
          <w:szCs w:val="22"/>
        </w:rPr>
        <w:t xml:space="preserve">PCAF Global GHG Accounting and Reporting Standard, Part A (3rd Edition), Category 15 (Financed Emissions) attribution methodology and Data Quality scoring.</w:t>
      </w:r>
    </w:p>
    <w:p>
      <w:pPr>
        <w:pStyle w:val="ListParagraph"/>
        <w:numPr>
          <w:ilvl w:val="0"/>
          <w:numId w:val="2"/>
        </w:numPr>
        <w:spacing w:after="80"/>
      </w:pPr>
      <w:r>
        <w:rPr>
          <w:rFonts w:ascii="Calibri" w:cs="Calibri" w:eastAsia="Calibri" w:hAnsi="Calibri"/>
          <w:sz w:val="22"/>
          <w:szCs w:val="22"/>
        </w:rPr>
        <w:t xml:space="preserve">IFC Performance Standards on Environmental and Social Sustainability (2012), PS1 to PS8, which anchor the NRB Annex 5b Project Finance Screening Questionnaire.</w:t>
      </w:r>
    </w:p>
    <w:p>
      <w:pPr>
        <w:pStyle w:val="Heading3"/>
        <w:spacing w:after="80" w:before="180"/>
      </w:pPr>
      <w:r>
        <w:rPr>
          <w:rFonts w:ascii="Calibri" w:cs="Calibri" w:eastAsia="Calibri" w:hAnsi="Calibri"/>
          <w:b/>
          <w:bCs/>
          <w:color w:val="334155"/>
          <w:sz w:val="24"/>
          <w:szCs w:val="24"/>
        </w:rPr>
        <w:t xml:space="preserve">What is illustrative in this demonstration</w:t>
      </w:r>
    </w:p>
    <w:p>
      <w:pPr>
        <w:spacing w:after="120"/>
      </w:pPr>
      <w:r>
        <w:rPr>
          <w:rFonts w:ascii="Calibri" w:cs="Calibri" w:eastAsia="Calibri" w:hAnsi="Calibri"/>
          <w:sz w:val="22"/>
          <w:szCs w:val="22"/>
        </w:rPr>
        <w:t xml:space="preserve">The example bank, its branding, branches, customer borrower names outside the public reference dataset, the loan book, the application queue, and the screening recommendations are all synthesized for demonstration. The platform is capable of replacing every illustrative element with real bank source-of-record data once a production integration has been scoped and agreed.</w:t>
      </w:r>
    </w:p>
    <w:tbl>
      <w:tblPr>
        <w:tblW w:type="dxa" w:w="9360"/>
        <w:tblBorders>
          <w:top w:val="single" w:color="F59E0B" w:sz="12"/>
          <w:left w:val="single" w:color="F59E0B" w:sz="12"/>
          <w:bottom w:val="single" w:color="F59E0B" w:sz="12"/>
          <w:right w:val="single" w:color="F59E0B" w:sz="12"/>
          <w:insideH w:val="none" w:color="auto" w:sz="0"/>
          <w:insideV w:val="none" w:color="auto" w:sz="0"/>
        </w:tblBorders>
      </w:tblPr>
      <w:tblGrid>
        <w:gridCol w:w="9360"/>
      </w:tblGrid>
      <w:tr>
        <w:tc>
          <w:tcPr>
            <w:tcW w:type="dxa" w:w="9360"/>
            <w:shd w:fill="FEF3C7" w:color="auto" w:val="clear"/>
            <w:tcMar>
              <w:top w:type="dxa" w:w="160"/>
              <w:left w:type="dxa" w:w="200"/>
              <w:bottom w:type="dxa" w:w="160"/>
              <w:right w:type="dxa" w:w="200"/>
            </w:tcMar>
          </w:tcPr>
          <w:p>
            <w:pPr>
              <w:spacing w:after="100"/>
            </w:pPr>
            <w:r>
              <w:rPr>
                <w:rFonts w:ascii="Calibri" w:cs="Calibri" w:eastAsia="Calibri" w:hAnsi="Calibri"/>
                <w:b/>
                <w:bCs/>
                <w:color w:val="334155"/>
                <w:sz w:val="22"/>
                <w:szCs w:val="22"/>
              </w:rPr>
              <w:t xml:space="preserve">Use and distribution</w:t>
            </w:r>
          </w:p>
          <w:p>
            <w:pPr>
              <w:spacing w:after="0"/>
            </w:pPr>
            <w:r>
              <w:rPr>
                <w:rFonts w:ascii="Calibri" w:cs="Calibri" w:eastAsia="Calibri" w:hAnsi="Calibri"/>
                <w:sz w:val="22"/>
                <w:szCs w:val="22"/>
              </w:rPr>
              <w:t xml:space="preserve">This manual and the accompanying demonstration product are shared by Jana Earth Data as a reference to commercial banks in Nepal during the evaluation period. The materials may be circulated within a recipient bank for the purpose of evaluating the platform. Please credit the data sources listed in Part 15 when reproducing figures outside this manual. Thank you.</w:t>
            </w:r>
          </w:p>
        </w:tc>
      </w:tr>
    </w:tbl>
    <w:p>
      <w:r>
        <w:br w:type="page"/>
      </w:r>
    </w:p>
    <w:p>
      <w:pPr>
        <w:pStyle w:val="Heading1"/>
        <w:spacing w:after="160" w:before="320"/>
      </w:pPr>
      <w:r>
        <w:rPr>
          <w:rFonts w:ascii="Calibri" w:cs="Calibri" w:eastAsia="Calibri" w:hAnsi="Calibri"/>
          <w:b/>
          <w:bCs/>
          <w:color w:val="0F5132"/>
          <w:sz w:val="40"/>
          <w:szCs w:val="40"/>
        </w:rPr>
        <w:t xml:space="preserve">Contents</w:t>
      </w:r>
    </w:p>
    <w:p>
      <w:pPr>
        <w:spacing w:after="120"/>
      </w:pPr>
      <w:r>
        <w:rPr>
          <w:rFonts w:ascii="Calibri" w:cs="Calibri" w:eastAsia="Calibri" w:hAnsi="Calibri"/>
          <w:sz w:val="22"/>
          <w:szCs w:val="22"/>
        </w:rPr>
        <w:t xml:space="preserve">This manual has fifteen parts. The dashboard's five tabs are covered in Parts 2 through 4 and Part 11; the four per-loan wizards are covered in Parts 5 through 8; supporting workflows and reference material are in Parts 9 through 15.</w:t>
      </w:r>
    </w:p>
    <w:p>
      <w:pPr>
        <w:spacing w:after="200"/>
      </w:pPr>
      <w:r>
        <w:t xml:space="preserv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0F5132"/>
          <w:sz w:val="40"/>
          <w:szCs w:val="40"/>
        </w:rPr>
        <w:t xml:space="preserve">Part 1  |  Getting started</w:t>
      </w:r>
    </w:p>
    <w:p>
      <w:pPr>
        <w:pStyle w:val="Heading2"/>
        <w:spacing w:after="120" w:before="260"/>
      </w:pPr>
      <w:r>
        <w:rPr>
          <w:rFonts w:ascii="Calibri" w:cs="Calibri" w:eastAsia="Calibri" w:hAnsi="Calibri"/>
          <w:b/>
          <w:bCs/>
          <w:color w:val="1B6B3D"/>
          <w:sz w:val="30"/>
          <w:szCs w:val="30"/>
        </w:rPr>
        <w:t xml:space="preserve">1.1  Audience and intended use</w:t>
      </w:r>
    </w:p>
    <w:p>
      <w:pPr>
        <w:spacing w:after="120"/>
      </w:pPr>
      <w:r>
        <w:rPr>
          <w:rFonts w:ascii="Calibri" w:cs="Calibri" w:eastAsia="Calibri" w:hAnsi="Calibri"/>
          <w:sz w:val="22"/>
          <w:szCs w:val="22"/>
        </w:rPr>
        <w:t xml:space="preserve">The Financed Emissions Dashboard is intended for use by commercial bank staff in Nepal who are responsible for environmental and social risk management, green finance reporting, and forward sustainability disclosure. Specifically, the dashboard is designed around four operating roles:</w:t>
      </w:r>
    </w:p>
    <w:p>
      <w:pPr>
        <w:pStyle w:val="ListParagraph"/>
        <w:numPr>
          <w:ilvl w:val="0"/>
          <w:numId w:val="2"/>
        </w:numPr>
        <w:spacing w:after="80"/>
      </w:pPr>
      <w:r>
        <w:rPr>
          <w:rFonts w:ascii="Calibri" w:cs="Calibri" w:eastAsia="Calibri" w:hAnsi="Calibri"/>
          <w:sz w:val="22"/>
          <w:szCs w:val="22"/>
        </w:rPr>
        <w:t xml:space="preserve">Loan officers and relationship officers preparing new applications and renewals for credit committee review, capturing the required ESDD, taxonomy, and PCAF evidence on each loan.</w:t>
      </w:r>
    </w:p>
    <w:p>
      <w:pPr>
        <w:pStyle w:val="ListParagraph"/>
        <w:numPr>
          <w:ilvl w:val="0"/>
          <w:numId w:val="2"/>
        </w:numPr>
        <w:spacing w:after="80"/>
      </w:pPr>
      <w:r>
        <w:rPr>
          <w:rFonts w:ascii="Calibri" w:cs="Calibri" w:eastAsia="Calibri" w:hAnsi="Calibri"/>
          <w:sz w:val="22"/>
          <w:szCs w:val="22"/>
        </w:rPr>
        <w:t xml:space="preserve">Risk officers and ESG officers reviewing high-emitting loan applications against NRB Circular 22 (ESRM Guidelines, Second Edition, 2022) before approval.</w:t>
      </w:r>
    </w:p>
    <w:p>
      <w:pPr>
        <w:pStyle w:val="ListParagraph"/>
        <w:numPr>
          <w:ilvl w:val="0"/>
          <w:numId w:val="2"/>
        </w:numPr>
        <w:spacing w:after="80"/>
      </w:pPr>
      <w:r>
        <w:rPr>
          <w:rFonts w:ascii="Calibri" w:cs="Calibri" w:eastAsia="Calibri" w:hAnsi="Calibri"/>
          <w:sz w:val="22"/>
          <w:szCs w:val="22"/>
        </w:rPr>
        <w:t xml:space="preserve">Green finance and sustainability teams classifying the existing portfolio against the NRB Green Finance Taxonomy (October 2024) and preparing the annual NRBSIS Annex 4b submission.</w:t>
      </w:r>
    </w:p>
    <w:p>
      <w:pPr>
        <w:pStyle w:val="ListParagraph"/>
        <w:numPr>
          <w:ilvl w:val="0"/>
          <w:numId w:val="2"/>
        </w:numPr>
        <w:spacing w:after="80"/>
      </w:pPr>
      <w:r>
        <w:rPr>
          <w:rFonts w:ascii="Calibri" w:cs="Calibri" w:eastAsia="Calibri" w:hAnsi="Calibri"/>
          <w:sz w:val="22"/>
          <w:szCs w:val="22"/>
        </w:rPr>
        <w:t xml:space="preserve">Compliance and disclosure teams preparing the bank's climate-related financial disclosure under NFRS S1/S2, and monitoring CAP deadlines and covenant compliance across the portfolio.</w:t>
      </w:r>
    </w:p>
    <w:tbl>
      <w:tblPr>
        <w:tblW w:type="dxa" w:w="9360"/>
        <w:tblBorders>
          <w:top w:val="single" w:color="F59E0B" w:sz="12"/>
          <w:left w:val="single" w:color="F59E0B" w:sz="12"/>
          <w:bottom w:val="single" w:color="F59E0B" w:sz="12"/>
          <w:right w:val="single" w:color="F59E0B" w:sz="12"/>
          <w:insideH w:val="none" w:color="auto" w:sz="0"/>
          <w:insideV w:val="none" w:color="auto" w:sz="0"/>
        </w:tblBorders>
      </w:tblPr>
      <w:tblGrid>
        <w:gridCol w:w="9360"/>
      </w:tblGrid>
      <w:tr>
        <w:tc>
          <w:tcPr>
            <w:tcW w:type="dxa" w:w="9360"/>
            <w:shd w:fill="FEF3C7" w:color="auto" w:val="clear"/>
            <w:tcMar>
              <w:top w:type="dxa" w:w="160"/>
              <w:left w:type="dxa" w:w="200"/>
              <w:bottom w:type="dxa" w:w="160"/>
              <w:right w:type="dxa" w:w="200"/>
            </w:tcMar>
          </w:tcPr>
          <w:p>
            <w:pPr>
              <w:spacing w:after="100"/>
            </w:pPr>
            <w:r>
              <w:rPr>
                <w:rFonts w:ascii="Calibri" w:cs="Calibri" w:eastAsia="Calibri" w:hAnsi="Calibri"/>
                <w:b/>
                <w:bCs/>
                <w:color w:val="334155"/>
                <w:sz w:val="22"/>
                <w:szCs w:val="22"/>
              </w:rPr>
              <w:t xml:space="preserve">Not a regulatory filing tool</w:t>
            </w:r>
          </w:p>
          <w:p>
            <w:pPr>
              <w:spacing w:after="0"/>
            </w:pPr>
            <w:r>
              <w:rPr>
                <w:rFonts w:ascii="Calibri" w:cs="Calibri" w:eastAsia="Calibri" w:hAnsi="Calibri"/>
                <w:sz w:val="22"/>
                <w:szCs w:val="22"/>
              </w:rPr>
              <w:t xml:space="preserve">Where the dashboard supports a regulated process (ESRM screening, taxonomy classification, NRBSIS Annex 4b filing, NFRS disclosure) it supports the preparation of the filing rather than acting as the official submission system. Final filings continue to be produced through the bank's existing regulatory reporting workflow.</w:t>
            </w:r>
          </w:p>
        </w:tc>
      </w:tr>
    </w:tbl>
    <w:p>
      <w:pPr>
        <w:pStyle w:val="Heading2"/>
        <w:spacing w:after="120" w:before="260"/>
      </w:pPr>
      <w:r>
        <w:rPr>
          <w:rFonts w:ascii="Calibri" w:cs="Calibri" w:eastAsia="Calibri" w:hAnsi="Calibri"/>
          <w:b/>
          <w:bCs/>
          <w:color w:val="1B6B3D"/>
          <w:sz w:val="30"/>
          <w:szCs w:val="30"/>
        </w:rPr>
        <w:t xml:space="preserve">1.2  Dashboard layout</w:t>
      </w:r>
    </w:p>
    <w:p>
      <w:pPr>
        <w:spacing w:after="120"/>
      </w:pPr>
      <w:r>
        <w:rPr>
          <w:rFonts w:ascii="Calibri" w:cs="Calibri" w:eastAsia="Calibri" w:hAnsi="Calibri"/>
          <w:sz w:val="22"/>
          <w:szCs w:val="22"/>
        </w:rPr>
        <w:t xml:space="preserve">The dashboard opens to the My Work tab when an officer is signed in, and to the Loan Book tab otherwise. Five tabs are available across the top of the main view, in the order below:</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1900"/>
        <w:gridCol w:w="7460"/>
      </w:tblGrid>
      <w:tr>
        <w:trPr>
          <w:tblHeader/>
        </w:trPr>
        <w:tc>
          <w:tcPr>
            <w:tcW w:type="dxa" w:w="19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Tab</w:t>
            </w:r>
          </w:p>
        </w:tc>
        <w:tc>
          <w:tcPr>
            <w:tcW w:type="dxa" w:w="74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Purpose</w:t>
            </w:r>
          </w:p>
        </w:tc>
      </w:tr>
      <w:tr>
        <w:tc>
          <w:tcPr>
            <w:tcW w:type="dxa" w:w="1900"/>
            <w:tcMar>
              <w:top w:type="dxa" w:w="80"/>
              <w:left w:type="dxa" w:w="100"/>
              <w:bottom w:type="dxa" w:w="80"/>
              <w:right w:type="dxa" w:w="100"/>
            </w:tcMar>
          </w:tcPr>
          <w:p>
            <w:pPr>
              <w:spacing w:after="0"/>
            </w:pPr>
            <w:r>
              <w:rPr>
                <w:rFonts w:ascii="Calibri" w:cs="Calibri" w:eastAsia="Calibri" w:hAnsi="Calibri"/>
                <w:b/>
                <w:bCs/>
                <w:sz w:val="22"/>
                <w:szCs w:val="22"/>
              </w:rPr>
              <w:t xml:space="preserve">My Work</w:t>
            </w:r>
          </w:p>
        </w:tc>
        <w:tc>
          <w:tcPr>
            <w:tcW w:type="dxa" w:w="7460"/>
            <w:tcMar>
              <w:top w:type="dxa" w:w="80"/>
              <w:left w:type="dxa" w:w="100"/>
              <w:bottom w:type="dxa" w:w="80"/>
              <w:right w:type="dxa" w:w="100"/>
            </w:tcMar>
          </w:tcPr>
          <w:p>
            <w:pPr>
              <w:spacing w:after="0"/>
            </w:pPr>
            <w:r>
              <w:rPr>
                <w:rFonts w:ascii="Calibri" w:cs="Calibri" w:eastAsia="Calibri" w:hAnsi="Calibri"/>
                <w:sz w:val="22"/>
                <w:szCs w:val="22"/>
              </w:rPr>
              <w:t xml:space="preserve">Personal queue for the signed-in officer. Shows loans assigned to you, loans available to claim from the unassigned pool, and follow-ups (CAP items and monitoring reports) due in the next 30 days. This is the default tab when an officer is signed in.</w:t>
            </w:r>
          </w:p>
        </w:tc>
      </w:tr>
      <w:tr>
        <w:tc>
          <w:tcPr>
            <w:tcW w:type="dxa" w:w="1900"/>
            <w:tcMar>
              <w:top w:type="dxa" w:w="80"/>
              <w:left w:type="dxa" w:w="100"/>
              <w:bottom w:type="dxa" w:w="80"/>
              <w:right w:type="dxa" w:w="100"/>
            </w:tcMar>
          </w:tcPr>
          <w:p>
            <w:pPr>
              <w:spacing w:after="0"/>
            </w:pPr>
            <w:r>
              <w:rPr>
                <w:rFonts w:ascii="Calibri" w:cs="Calibri" w:eastAsia="Calibri" w:hAnsi="Calibri"/>
                <w:b/>
                <w:bCs/>
                <w:sz w:val="22"/>
                <w:szCs w:val="22"/>
              </w:rPr>
              <w:t xml:space="preserve">Loan Book</w:t>
            </w:r>
          </w:p>
        </w:tc>
        <w:tc>
          <w:tcPr>
            <w:tcW w:type="dxa" w:w="7460"/>
            <w:tcMar>
              <w:top w:type="dxa" w:w="80"/>
              <w:left w:type="dxa" w:w="100"/>
              <w:bottom w:type="dxa" w:w="80"/>
              <w:right w:type="dxa" w:w="100"/>
            </w:tcMar>
          </w:tcPr>
          <w:p>
            <w:pPr>
              <w:spacing w:after="0"/>
            </w:pPr>
            <w:r>
              <w:rPr>
                <w:rFonts w:ascii="Calibri" w:cs="Calibri" w:eastAsia="Calibri" w:hAnsi="Calibri"/>
                <w:sz w:val="22"/>
                <w:szCs w:val="22"/>
              </w:rPr>
              <w:t xml:space="preserve">Browse the bank's loan portfolio with full filtering, sort, and search. Default landing tab when no officer is signed in.</w:t>
            </w:r>
          </w:p>
        </w:tc>
      </w:tr>
      <w:tr>
        <w:tc>
          <w:tcPr>
            <w:tcW w:type="dxa" w:w="1900"/>
            <w:tcMar>
              <w:top w:type="dxa" w:w="80"/>
              <w:left w:type="dxa" w:w="100"/>
              <w:bottom w:type="dxa" w:w="80"/>
              <w:right w:type="dxa" w:w="100"/>
            </w:tcMar>
          </w:tcPr>
          <w:p>
            <w:pPr>
              <w:spacing w:after="0"/>
            </w:pPr>
            <w:r>
              <w:rPr>
                <w:rFonts w:ascii="Calibri" w:cs="Calibri" w:eastAsia="Calibri" w:hAnsi="Calibri"/>
                <w:b/>
                <w:bCs/>
                <w:sz w:val="22"/>
                <w:szCs w:val="22"/>
              </w:rPr>
              <w:t xml:space="preserve">Manager</w:t>
            </w:r>
          </w:p>
        </w:tc>
        <w:tc>
          <w:tcPr>
            <w:tcW w:type="dxa" w:w="7460"/>
            <w:tcMar>
              <w:top w:type="dxa" w:w="80"/>
              <w:left w:type="dxa" w:w="100"/>
              <w:bottom w:type="dxa" w:w="80"/>
              <w:right w:type="dxa" w:w="100"/>
            </w:tcMar>
          </w:tcPr>
          <w:p>
            <w:pPr>
              <w:spacing w:after="0"/>
            </w:pPr>
            <w:r>
              <w:rPr>
                <w:rFonts w:ascii="Calibri" w:cs="Calibri" w:eastAsia="Calibri" w:hAnsi="Calibri"/>
                <w:sz w:val="22"/>
                <w:szCs w:val="22"/>
              </w:rPr>
              <w:t xml:space="preserve">Portfolio-wide compliance oversight against NRB Circular 22 (Second Edition, 2022). Application queue on the left; per-loan screening workbench on the right with sub-tabs for Overview, CAP + Covenants, PCAF, Hydropower docs, and Facility map. Escalation and overdue-CAP banners at the top of the tab surface the loans that need manager attention.</w:t>
            </w:r>
          </w:p>
        </w:tc>
      </w:tr>
      <w:tr>
        <w:tc>
          <w:tcPr>
            <w:tcW w:type="dxa" w:w="1900"/>
            <w:tcMar>
              <w:top w:type="dxa" w:w="80"/>
              <w:left w:type="dxa" w:w="100"/>
              <w:bottom w:type="dxa" w:w="80"/>
              <w:right w:type="dxa" w:w="100"/>
            </w:tcMar>
          </w:tcPr>
          <w:p>
            <w:pPr>
              <w:spacing w:after="0"/>
            </w:pPr>
            <w:r>
              <w:rPr>
                <w:rFonts w:ascii="Calibri" w:cs="Calibri" w:eastAsia="Calibri" w:hAnsi="Calibri"/>
                <w:b/>
                <w:bCs/>
                <w:sz w:val="22"/>
                <w:szCs w:val="22"/>
              </w:rPr>
              <w:t xml:space="preserve">Taxonomy</w:t>
            </w:r>
          </w:p>
        </w:tc>
        <w:tc>
          <w:tcPr>
            <w:tcW w:type="dxa" w:w="7460"/>
            <w:tcMar>
              <w:top w:type="dxa" w:w="80"/>
              <w:left w:type="dxa" w:w="100"/>
              <w:bottom w:type="dxa" w:w="80"/>
              <w:right w:type="dxa" w:w="100"/>
            </w:tcMar>
          </w:tcPr>
          <w:p>
            <w:pPr>
              <w:spacing w:after="0"/>
            </w:pPr>
            <w:r>
              <w:rPr>
                <w:rFonts w:ascii="Calibri" w:cs="Calibri" w:eastAsia="Calibri" w:hAnsi="Calibri"/>
                <w:sz w:val="22"/>
                <w:szCs w:val="22"/>
              </w:rPr>
              <w:t xml:space="preserve">Inspect the portfolio's classification under the NRB Green Finance Taxonomy (October 2024). Colours (Green, Amber, Red, Unclassified), distribution by count and value, sector breakdown, and per-loan drilldown into the saved classification.</w:t>
            </w:r>
          </w:p>
        </w:tc>
      </w:tr>
      <w:tr>
        <w:tc>
          <w:tcPr>
            <w:tcW w:type="dxa" w:w="1900"/>
            <w:tcMar>
              <w:top w:type="dxa" w:w="80"/>
              <w:left w:type="dxa" w:w="100"/>
              <w:bottom w:type="dxa" w:w="80"/>
              <w:right w:type="dxa" w:w="100"/>
            </w:tcMar>
          </w:tcPr>
          <w:p>
            <w:pPr>
              <w:spacing w:after="0"/>
            </w:pPr>
            <w:r>
              <w:rPr>
                <w:rFonts w:ascii="Calibri" w:cs="Calibri" w:eastAsia="Calibri" w:hAnsi="Calibri"/>
                <w:b/>
                <w:bCs/>
                <w:sz w:val="22"/>
                <w:szCs w:val="22"/>
              </w:rPr>
              <w:t xml:space="preserve">NFRS</w:t>
            </w:r>
          </w:p>
        </w:tc>
        <w:tc>
          <w:tcPr>
            <w:tcW w:type="dxa" w:w="7460"/>
            <w:tcMar>
              <w:top w:type="dxa" w:w="80"/>
              <w:left w:type="dxa" w:w="100"/>
              <w:bottom w:type="dxa" w:w="80"/>
              <w:right w:type="dxa" w:w="100"/>
            </w:tcMar>
          </w:tcPr>
          <w:p>
            <w:pPr>
              <w:spacing w:after="0"/>
            </w:pPr>
            <w:r>
              <w:rPr>
                <w:rFonts w:ascii="Calibri" w:cs="Calibri" w:eastAsia="Calibri" w:hAnsi="Calibri"/>
                <w:sz w:val="22"/>
                <w:szCs w:val="22"/>
              </w:rPr>
              <w:t xml:space="preserve">Review financed emissions and PCAF data quality on a disclosure-ready basis. Structured for the bank's NFRS S1/S2 disclosure once ICAN pronounces the finalised standards. Contains the NRBSIS Green Finance Statement (Annex 4b) export.</w:t>
            </w:r>
          </w:p>
        </w:tc>
      </w:tr>
    </w:tbl>
    <w:p>
      <w:pPr>
        <w:spacing w:after="120"/>
      </w:pPr>
      <w:r>
        <w:rPr>
          <w:rFonts w:ascii="Calibri" w:cs="Calibri" w:eastAsia="Calibri" w:hAnsi="Calibri"/>
          <w:sz w:val="22"/>
          <w:szCs w:val="22"/>
        </w:rPr>
        <w:t xml:space="preserve"/>
      </w:r>
    </w:p>
    <w:p>
      <w:pPr>
        <w:pStyle w:val="Heading3"/>
        <w:spacing w:after="80" w:before="180"/>
      </w:pPr>
      <w:r>
        <w:rPr>
          <w:rFonts w:ascii="Calibri" w:cs="Calibri" w:eastAsia="Calibri" w:hAnsi="Calibri"/>
          <w:b/>
          <w:bCs/>
          <w:color w:val="334155"/>
          <w:sz w:val="24"/>
          <w:szCs w:val="24"/>
        </w:rPr>
        <w:t xml:space="preserve">Header controls</w:t>
      </w:r>
    </w:p>
    <w:p>
      <w:pPr>
        <w:spacing w:after="120"/>
      </w:pPr>
      <w:r>
        <w:rPr>
          <w:rFonts w:ascii="Calibri" w:cs="Calibri" w:eastAsia="Calibri" w:hAnsi="Calibri"/>
          <w:sz w:val="22"/>
          <w:szCs w:val="22"/>
        </w:rPr>
        <w:t xml:space="preserve">The top-right corner of the dashboard carries four controls that are available on every tab:</w:t>
      </w:r>
    </w:p>
    <w:p>
      <w:pPr>
        <w:pStyle w:val="ListParagraph"/>
        <w:numPr>
          <w:ilvl w:val="0"/>
          <w:numId w:val="2"/>
        </w:numPr>
        <w:spacing w:after="80"/>
      </w:pPr>
      <w:r>
        <w:rPr>
          <w:rFonts w:ascii="Calibri" w:cs="Calibri" w:eastAsia="Calibri" w:hAnsi="Calibri"/>
          <w:b/>
          <w:bCs/>
          <w:sz w:val="22"/>
          <w:szCs w:val="22"/>
        </w:rPr>
        <w:t xml:space="preserve">Tour selector: </w:t>
      </w:r>
      <w:r>
        <w:rPr>
          <w:rFonts w:ascii="Calibri" w:cs="Calibri" w:eastAsia="Calibri" w:hAnsi="Calibri"/>
          <w:sz w:val="22"/>
          <w:szCs w:val="22"/>
        </w:rPr>
        <w:t xml:space="preserve">a dropdown that opens one of six pre-recorded audio tours (Dashboard, Loan officer, Manager, PF screening, PCAF scoring, NFRS). See Part 13.</w:t>
      </w:r>
    </w:p>
    <w:p>
      <w:pPr>
        <w:pStyle w:val="ListParagraph"/>
        <w:numPr>
          <w:ilvl w:val="0"/>
          <w:numId w:val="2"/>
        </w:numPr>
        <w:spacing w:after="80"/>
      </w:pPr>
      <w:r>
        <w:rPr>
          <w:rFonts w:ascii="Calibri" w:cs="Calibri" w:eastAsia="Calibri" w:hAnsi="Calibri"/>
          <w:b/>
          <w:bCs/>
          <w:sz w:val="22"/>
          <w:szCs w:val="22"/>
        </w:rPr>
        <w:t xml:space="preserve">Officer picker: </w:t>
      </w:r>
      <w:r>
        <w:rPr>
          <w:rFonts w:ascii="Calibri" w:cs="Calibri" w:eastAsia="Calibri" w:hAnsi="Calibri"/>
          <w:sz w:val="22"/>
          <w:szCs w:val="22"/>
        </w:rPr>
        <w:t xml:space="preserve">select the officer you are acting as. The picker is populated from the bank's demonstration roster (loan officers, ESG officers, compliance, credit committee). Signing in as a specific officer is what unlocks My Work and enables loan assignment.</w:t>
      </w:r>
    </w:p>
    <w:p>
      <w:pPr>
        <w:pStyle w:val="ListParagraph"/>
        <w:numPr>
          <w:ilvl w:val="0"/>
          <w:numId w:val="2"/>
        </w:numPr>
        <w:spacing w:after="80"/>
      </w:pPr>
      <w:r>
        <w:rPr>
          <w:rFonts w:ascii="Calibri" w:cs="Calibri" w:eastAsia="Calibri" w:hAnsi="Calibri"/>
          <w:b/>
          <w:bCs/>
          <w:sz w:val="22"/>
          <w:szCs w:val="22"/>
        </w:rPr>
        <w:t xml:space="preserve">Settings (gear icon): </w:t>
      </w:r>
      <w:r>
        <w:rPr>
          <w:rFonts w:ascii="Calibri" w:cs="Calibri" w:eastAsia="Calibri" w:hAnsi="Calibri"/>
          <w:sz w:val="22"/>
          <w:szCs w:val="22"/>
        </w:rPr>
        <w:t xml:space="preserve">opens the per-bank settings page (Part 12). One setting is fully wired in this build; the remainder are visible in the interface and marked "Coming soon".</w:t>
      </w:r>
    </w:p>
    <w:p>
      <w:pPr>
        <w:pStyle w:val="ListParagraph"/>
        <w:numPr>
          <w:ilvl w:val="0"/>
          <w:numId w:val="2"/>
        </w:numPr>
        <w:spacing w:after="80"/>
      </w:pPr>
      <w:r>
        <w:rPr>
          <w:rFonts w:ascii="Calibri" w:cs="Calibri" w:eastAsia="Calibri" w:hAnsi="Calibri"/>
          <w:b/>
          <w:bCs/>
          <w:sz w:val="22"/>
          <w:szCs w:val="22"/>
        </w:rPr>
        <w:t xml:space="preserve">Switch bank: </w:t>
      </w:r>
      <w:r>
        <w:rPr>
          <w:rFonts w:ascii="Calibri" w:cs="Calibri" w:eastAsia="Calibri" w:hAnsi="Calibri"/>
          <w:sz w:val="22"/>
          <w:szCs w:val="22"/>
        </w:rPr>
        <w:t xml:space="preserve">clears the current bank cookie and returns you to the access-code entry screen. Used when the same demonstration URL is being shown to two different bank tenants in one session.</w:t>
      </w:r>
    </w:p>
    <w:p>
      <w:pPr>
        <w:spacing w:after="120"/>
      </w:pPr>
      <w:r>
        <w:rPr>
          <w:rFonts w:ascii="Calibri" w:cs="Calibri" w:eastAsia="Calibri" w:hAnsi="Calibri"/>
          <w:sz w:val="22"/>
          <w:szCs w:val="22"/>
        </w:rPr>
        <w:t xml:space="preserve">A live-vs-demo data indicator sits to the left of the header controls. When connected to the Jana platform, the Climate TRACE 2024 snapshot is served from a stable internal copy rather than re-fetched from the upstream provider for each request.</w:t>
      </w:r>
    </w:p>
    <w:p>
      <w:pPr>
        <w:pStyle w:val="Heading2"/>
        <w:spacing w:after="120" w:before="260"/>
      </w:pPr>
      <w:r>
        <w:rPr>
          <w:rFonts w:ascii="Calibri" w:cs="Calibri" w:eastAsia="Calibri" w:hAnsi="Calibri"/>
          <w:b/>
          <w:bCs/>
          <w:color w:val="1B6B3D"/>
          <w:sz w:val="30"/>
          <w:szCs w:val="30"/>
        </w:rPr>
        <w:t xml:space="preserve">1.3  Authentication and access</w:t>
      </w:r>
    </w:p>
    <w:p>
      <w:pPr>
        <w:spacing w:after="120"/>
      </w:pPr>
      <w:r>
        <w:rPr>
          <w:rFonts w:ascii="Calibri" w:cs="Calibri" w:eastAsia="Calibri" w:hAnsi="Calibri"/>
          <w:sz w:val="22"/>
          <w:szCs w:val="22"/>
        </w:rPr>
        <w:t xml:space="preserve">Production deployments of the dashboard are gated by the bank's single sign-on and use role-based access control. In this demonstration the sign-in step is present but not enforced: any officer in the picker can be selected, and any user can navigate all five tabs. In production, the four operating roles listed in section 1.1 each receive a tailored subset of tabs and actions.</w:t>
      </w:r>
    </w:p>
    <w:p>
      <w:pPr>
        <w:spacing w:after="120"/>
      </w:pPr>
      <w:r>
        <w:rPr>
          <w:rFonts w:ascii="Calibri" w:cs="Calibri" w:eastAsia="Calibri" w:hAnsi="Calibri"/>
          <w:sz w:val="22"/>
          <w:szCs w:val="22"/>
        </w:rPr>
        <w:t xml:space="preserve">Bank tenants are separated by an access code entered on the landing page. Two tenants ship with this demonstration: the default First Bank of Nepal (a hypothetical bank used for platform-agnostic walkthroughs) and Laxmi Sunrise Bank (branded for on-site meetings with Laxmi Sunrise). The code is remembered in a cookie for the session; use Switch bank in the header to change tenant.</w:t>
      </w:r>
    </w:p>
    <w:p>
      <w:pPr>
        <w:pStyle w:val="Heading2"/>
        <w:spacing w:after="120" w:before="260"/>
      </w:pPr>
      <w:r>
        <w:rPr>
          <w:rFonts w:ascii="Calibri" w:cs="Calibri" w:eastAsia="Calibri" w:hAnsi="Calibri"/>
          <w:b/>
          <w:bCs/>
          <w:color w:val="1B6B3D"/>
          <w:sz w:val="30"/>
          <w:szCs w:val="30"/>
        </w:rPr>
        <w:t xml:space="preserve">1.4  Conventions used in this manual</w:t>
      </w:r>
    </w:p>
    <w:p>
      <w:pPr>
        <w:pStyle w:val="ListParagraph"/>
        <w:numPr>
          <w:ilvl w:val="0"/>
          <w:numId w:val="2"/>
        </w:numPr>
        <w:spacing w:after="80"/>
      </w:pPr>
      <w:r>
        <w:rPr>
          <w:rFonts w:ascii="Calibri" w:cs="Calibri" w:eastAsia="Calibri" w:hAnsi="Calibri"/>
          <w:sz w:val="22"/>
          <w:szCs w:val="22"/>
        </w:rPr>
        <w:t xml:space="preserve">The (i) icons in the dashboard show inline tooltips that explain PCAF scores, taxonomy colour codes, ESRM risk classifications, and air quality bands. The same explanations are reproduced in Part 14 of this manual.</w:t>
      </w:r>
    </w:p>
    <w:p>
      <w:pPr>
        <w:pStyle w:val="ListParagraph"/>
        <w:numPr>
          <w:ilvl w:val="0"/>
          <w:numId w:val="2"/>
        </w:numPr>
        <w:spacing w:after="80"/>
      </w:pPr>
      <w:r>
        <w:rPr>
          <w:rFonts w:ascii="Calibri" w:cs="Calibri" w:eastAsia="Calibri" w:hAnsi="Calibri"/>
          <w:sz w:val="22"/>
          <w:szCs w:val="22"/>
        </w:rPr>
        <w:t xml:space="preserve">Bold UI labels in this manual refer to controls, tabs, or buttons that appear in the dashboard itself.</w:t>
      </w:r>
    </w:p>
    <w:p>
      <w:pPr>
        <w:pStyle w:val="ListParagraph"/>
        <w:numPr>
          <w:ilvl w:val="0"/>
          <w:numId w:val="2"/>
        </w:numPr>
        <w:spacing w:after="80"/>
      </w:pPr>
      <w:r>
        <w:rPr>
          <w:rFonts w:ascii="Calibri" w:cs="Calibri" w:eastAsia="Calibri" w:hAnsi="Calibri"/>
          <w:sz w:val="22"/>
          <w:szCs w:val="22"/>
        </w:rPr>
        <w:t xml:space="preserve">NPR values throughout the NFRS tab follow the IFRS S1 presentation-currency guidance that NFRS S1 inherits. USD appears where it is needed for the PCAF attribution calculation, which is conventionally performed in USD because borrower enterprise values from public sources are denominated that way.</w:t>
      </w:r>
    </w:p>
    <w:p>
      <w:pPr>
        <w:pStyle w:val="ListParagraph"/>
        <w:numPr>
          <w:ilvl w:val="0"/>
          <w:numId w:val="2"/>
        </w:numPr>
        <w:spacing w:after="80"/>
      </w:pPr>
      <w:r>
        <w:rPr>
          <w:rFonts w:ascii="Calibri" w:cs="Calibri" w:eastAsia="Calibri" w:hAnsi="Calibri"/>
          <w:sz w:val="22"/>
          <w:szCs w:val="22"/>
        </w:rPr>
        <w:t xml:space="preserve">"Demo Purposes Only" appears on the cover of this manual and at the bottom of the dashboard application itself, on every page.</w:t>
      </w:r>
    </w:p>
    <w:p>
      <w:r>
        <w:br w:type="page"/>
      </w:r>
    </w:p>
    <w:p>
      <w:pPr>
        <w:pStyle w:val="Heading1"/>
        <w:spacing w:after="160" w:before="320"/>
      </w:pPr>
      <w:r>
        <w:rPr>
          <w:rFonts w:ascii="Calibri" w:cs="Calibri" w:eastAsia="Calibri" w:hAnsi="Calibri"/>
          <w:b/>
          <w:bCs/>
          <w:color w:val="0F5132"/>
          <w:sz w:val="40"/>
          <w:szCs w:val="40"/>
        </w:rPr>
        <w:t xml:space="preserve">Part 2  |  My Work tab</w:t>
      </w:r>
    </w:p>
    <w:p>
      <w:pPr>
        <w:pStyle w:val="Heading2"/>
        <w:spacing w:after="120" w:before="260"/>
      </w:pPr>
      <w:r>
        <w:rPr>
          <w:rFonts w:ascii="Calibri" w:cs="Calibri" w:eastAsia="Calibri" w:hAnsi="Calibri"/>
          <w:b/>
          <w:bCs/>
          <w:color w:val="1B6B3D"/>
          <w:sz w:val="30"/>
          <w:szCs w:val="30"/>
        </w:rPr>
        <w:t xml:space="preserve">2.1  Purpose</w:t>
      </w:r>
    </w:p>
    <w:p>
      <w:pPr>
        <w:spacing w:after="120"/>
      </w:pPr>
      <w:r>
        <w:rPr>
          <w:rFonts w:ascii="Calibri" w:cs="Calibri" w:eastAsia="Calibri" w:hAnsi="Calibri"/>
          <w:sz w:val="22"/>
          <w:szCs w:val="22"/>
        </w:rPr>
        <w:t xml:space="preserve">The My Work tab is the loan officer's personal view. It answers two questions on one screen: "what do I owe action on today?" and "what is available to pick up?" Every officer sees only their own queue.</w:t>
      </w:r>
    </w:p>
    <w:p>
      <w:pPr>
        <w:spacing w:after="120"/>
      </w:pPr>
      <w:r>
        <w:rPr>
          <w:rFonts w:ascii="Calibri" w:cs="Calibri" w:eastAsia="Calibri" w:hAnsi="Calibri"/>
          <w:sz w:val="22"/>
          <w:szCs w:val="22"/>
        </w:rPr>
        <w:t xml:space="preserve">If no officer is signed in, the tab shows a friendly prompt to open the officer picker in the header. Once an officer is selected, the tab is populated from the bank's live records.</w:t>
      </w:r>
    </w:p>
    <w:p>
      <w:pPr>
        <w:pStyle w:val="Heading2"/>
        <w:spacing w:after="120" w:before="260"/>
      </w:pPr>
      <w:r>
        <w:rPr>
          <w:rFonts w:ascii="Calibri" w:cs="Calibri" w:eastAsia="Calibri" w:hAnsi="Calibri"/>
          <w:b/>
          <w:bCs/>
          <w:color w:val="1B6B3D"/>
          <w:sz w:val="30"/>
          <w:szCs w:val="30"/>
        </w:rPr>
        <w:t xml:space="preserve">2.2  Follow-ups due</w:t>
      </w:r>
    </w:p>
    <w:p>
      <w:pPr>
        <w:spacing w:after="120"/>
      </w:pPr>
      <w:r>
        <w:rPr>
          <w:rFonts w:ascii="Calibri" w:cs="Calibri" w:eastAsia="Calibri" w:hAnsi="Calibri"/>
          <w:sz w:val="22"/>
          <w:szCs w:val="22"/>
        </w:rPr>
        <w:t xml:space="preserve">The top panel of the tab lists all CAP items and monitoring reports that the signed-in officer owes action on in the next 30 days. Items are bucketed by urgency:</w:t>
      </w:r>
    </w:p>
    <w:p>
      <w:pPr>
        <w:pStyle w:val="ListParagraph"/>
        <w:numPr>
          <w:ilvl w:val="0"/>
          <w:numId w:val="2"/>
        </w:numPr>
        <w:spacing w:after="80"/>
      </w:pPr>
      <w:r>
        <w:rPr>
          <w:rFonts w:ascii="Calibri" w:cs="Calibri" w:eastAsia="Calibri" w:hAnsi="Calibri"/>
          <w:b/>
          <w:bCs/>
          <w:color w:val="DC2626"/>
          <w:sz w:val="22"/>
          <w:szCs w:val="22"/>
        </w:rPr>
        <w:t xml:space="preserve">Overdue: </w:t>
      </w:r>
      <w:r>
        <w:rPr>
          <w:rFonts w:ascii="Calibri" w:cs="Calibri" w:eastAsia="Calibri" w:hAnsi="Calibri"/>
          <w:sz w:val="22"/>
          <w:szCs w:val="22"/>
        </w:rPr>
        <w:t xml:space="preserve">deadline has already passed. The parent loan gets an "Overdue CAP" flag on the Manager tab, visible portfolio-wide.</w:t>
      </w:r>
    </w:p>
    <w:p>
      <w:pPr>
        <w:pStyle w:val="ListParagraph"/>
        <w:numPr>
          <w:ilvl w:val="0"/>
          <w:numId w:val="2"/>
        </w:numPr>
        <w:spacing w:after="80"/>
      </w:pPr>
      <w:r>
        <w:rPr>
          <w:rFonts w:ascii="Calibri" w:cs="Calibri" w:eastAsia="Calibri" w:hAnsi="Calibri"/>
          <w:b/>
          <w:bCs/>
          <w:color w:val="F59E0B"/>
          <w:sz w:val="22"/>
          <w:szCs w:val="22"/>
        </w:rPr>
        <w:t xml:space="preserve">Due this week: </w:t>
      </w:r>
      <w:r>
        <w:rPr>
          <w:rFonts w:ascii="Calibri" w:cs="Calibri" w:eastAsia="Calibri" w:hAnsi="Calibri"/>
          <w:sz w:val="22"/>
          <w:szCs w:val="22"/>
        </w:rPr>
        <w:t xml:space="preserve">deadline is in the next 7 days.</w:t>
      </w:r>
    </w:p>
    <w:p>
      <w:pPr>
        <w:pStyle w:val="ListParagraph"/>
        <w:numPr>
          <w:ilvl w:val="0"/>
          <w:numId w:val="2"/>
        </w:numPr>
        <w:spacing w:after="80"/>
      </w:pPr>
      <w:r>
        <w:rPr>
          <w:rFonts w:ascii="Calibri" w:cs="Calibri" w:eastAsia="Calibri" w:hAnsi="Calibri"/>
          <w:b/>
          <w:bCs/>
          <w:color w:val="64748B"/>
          <w:sz w:val="22"/>
          <w:szCs w:val="22"/>
        </w:rPr>
        <w:t xml:space="preserve">Due this month: </w:t>
      </w:r>
      <w:r>
        <w:rPr>
          <w:rFonts w:ascii="Calibri" w:cs="Calibri" w:eastAsia="Calibri" w:hAnsi="Calibri"/>
          <w:sz w:val="22"/>
          <w:szCs w:val="22"/>
        </w:rPr>
        <w:t xml:space="preserve">deadline is between 8 and 30 days out.</w:t>
      </w:r>
    </w:p>
    <w:p>
      <w:pPr>
        <w:spacing w:after="120"/>
      </w:pPr>
      <w:r>
        <w:rPr>
          <w:rFonts w:ascii="Calibri" w:cs="Calibri" w:eastAsia="Calibri" w:hAnsi="Calibri"/>
          <w:sz w:val="22"/>
          <w:szCs w:val="22"/>
        </w:rPr>
        <w:t xml:space="preserve">Clicking a row opens the relevant workbench sub-tab (CAP + Covenants for a CAP item, Overview for a monitoring report). The panel hides itself when the officer's queue is empty, so an empty top-of-page does not become visual noise. Regulatory authority for these follow-ups is Circular 22 §7.3.5 (time-bound CAP) and §7.3.7 (periodic monitoring).</w:t>
      </w:r>
    </w:p>
    <w:p>
      <w:pPr>
        <w:pStyle w:val="Heading2"/>
        <w:spacing w:after="120" w:before="260"/>
      </w:pPr>
      <w:r>
        <w:rPr>
          <w:rFonts w:ascii="Calibri" w:cs="Calibri" w:eastAsia="Calibri" w:hAnsi="Calibri"/>
          <w:b/>
          <w:bCs/>
          <w:color w:val="1B6B3D"/>
          <w:sz w:val="30"/>
          <w:szCs w:val="30"/>
        </w:rPr>
        <w:t xml:space="preserve">2.3  My loans and Available to claim</w:t>
      </w:r>
    </w:p>
    <w:p>
      <w:pPr>
        <w:spacing w:after="120"/>
      </w:pPr>
      <w:r>
        <w:rPr>
          <w:rFonts w:ascii="Calibri" w:cs="Calibri" w:eastAsia="Calibri" w:hAnsi="Calibri"/>
          <w:sz w:val="22"/>
          <w:szCs w:val="22"/>
        </w:rPr>
        <w:t xml:space="preserve">Below the follow-ups panel, the tab splits into two sections:</w:t>
      </w:r>
    </w:p>
    <w:p>
      <w:pPr>
        <w:pStyle w:val="ListParagraph"/>
        <w:numPr>
          <w:ilvl w:val="0"/>
          <w:numId w:val="2"/>
        </w:numPr>
        <w:spacing w:after="80"/>
      </w:pPr>
      <w:r>
        <w:rPr>
          <w:rFonts w:ascii="Calibri" w:cs="Calibri" w:eastAsia="Calibri" w:hAnsi="Calibri"/>
          <w:b/>
          <w:bCs/>
          <w:sz w:val="22"/>
          <w:szCs w:val="22"/>
        </w:rPr>
        <w:t xml:space="preserve">My loans: </w:t>
      </w:r>
      <w:r>
        <w:rPr>
          <w:rFonts w:ascii="Calibri" w:cs="Calibri" w:eastAsia="Calibri" w:hAnsi="Calibri"/>
          <w:sz w:val="22"/>
          <w:szCs w:val="22"/>
        </w:rPr>
        <w:t xml:space="preserve">loans that are assigned to you, plus any loan you have touched (opened a wizard on, saved a screening for, or been assigned by a manager). Each row shows the borrower, sector, outstanding NPR balance, and a set of compliance chips: ESDD progress, Taxonomy colour, PF screening (when applicable), and PCAF availability.</w:t>
      </w:r>
    </w:p>
    <w:p>
      <w:pPr>
        <w:pStyle w:val="ListParagraph"/>
        <w:numPr>
          <w:ilvl w:val="0"/>
          <w:numId w:val="2"/>
        </w:numPr>
        <w:spacing w:after="80"/>
      </w:pPr>
      <w:r>
        <w:rPr>
          <w:rFonts w:ascii="Calibri" w:cs="Calibri" w:eastAsia="Calibri" w:hAnsi="Calibri"/>
          <w:b/>
          <w:bCs/>
          <w:sz w:val="22"/>
          <w:szCs w:val="22"/>
        </w:rPr>
        <w:t xml:space="preserve">Available to claim: </w:t>
      </w:r>
      <w:r>
        <w:rPr>
          <w:rFonts w:ascii="Calibri" w:cs="Calibri" w:eastAsia="Calibri" w:hAnsi="Calibri"/>
          <w:sz w:val="22"/>
          <w:szCs w:val="22"/>
        </w:rPr>
        <w:t xml:space="preserve">loans in the unassigned pool that any officer can pick up. Each row is a single tap-target; clicking Open navigates to the ESDD wizard and auto-claims the loan for the officer who clicked. There is no separate Claim button; the first click IS the claim.</w:t>
      </w:r>
    </w:p>
    <w:p>
      <w:pPr>
        <w:spacing w:after="120"/>
      </w:pPr>
      <w:r>
        <w:rPr>
          <w:rFonts w:ascii="Calibri" w:cs="Calibri" w:eastAsia="Calibri" w:hAnsi="Calibri"/>
          <w:sz w:val="22"/>
          <w:szCs w:val="22"/>
        </w:rPr>
        <w:t xml:space="preserve">The header of the panel reports the numbers side by side: "N assigned to you · M available to claim". A Recently closed section appears below when there are loans approved, declined, or withdrawn in the last 30 days.</w:t>
      </w:r>
    </w:p>
    <w:p>
      <w:pPr>
        <w:pStyle w:val="Heading2"/>
        <w:spacing w:after="120" w:before="260"/>
      </w:pPr>
      <w:r>
        <w:rPr>
          <w:rFonts w:ascii="Calibri" w:cs="Calibri" w:eastAsia="Calibri" w:hAnsi="Calibri"/>
          <w:b/>
          <w:bCs/>
          <w:color w:val="1B6B3D"/>
          <w:sz w:val="30"/>
          <w:szCs w:val="30"/>
        </w:rPr>
        <w:t xml:space="preserve">2.4  CTA buttons on the loan card</w:t>
      </w:r>
    </w:p>
    <w:p>
      <w:pPr>
        <w:spacing w:after="120"/>
      </w:pPr>
      <w:r>
        <w:rPr>
          <w:rFonts w:ascii="Calibri" w:cs="Calibri" w:eastAsia="Calibri" w:hAnsi="Calibri"/>
          <w:sz w:val="22"/>
          <w:szCs w:val="22"/>
        </w:rPr>
        <w:t xml:space="preserve">For each loan in the My loans section, the card exposes up to four compliance CTAs. Each CTA opens the corresponding per-loan wizard; the chip beside it shows completion state at a glance:</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200"/>
        <w:gridCol w:w="7160"/>
      </w:tblGrid>
      <w:tr>
        <w:trPr>
          <w:tblHeader/>
        </w:trPr>
        <w:tc>
          <w:tcPr>
            <w:tcW w:type="dxa" w:w="22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Wizard</w:t>
            </w:r>
          </w:p>
        </w:tc>
        <w:tc>
          <w:tcPr>
            <w:tcW w:type="dxa" w:w="71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What it captures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ESDD</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NRB Circular 22 §5 Annex 5 checklist. Always required. See Part 5.</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Taxonomy</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NRB Green Finance Taxonomy (October 2024) classification. Required on every loan. See Part 6.</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PF screening</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NRB Circular 22 Annex 5b Project Finance Screening (IFC PS1-PS8). Shown only on project-finance loans. See Part 7.</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PCAF</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PCAF Part A §5 data-availability capture (four flag rows). Required on every loan under NFRS. See Part 8.</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When the loan's borrower is above the NRB Circular 22 §4.3 climate reporting threshold (25,000 tCO2e/year) without a reduction target on file, an additional badge appears on the card.</w:t>
      </w:r>
    </w:p>
    <w:p>
      <w:r>
        <w:br w:type="page"/>
      </w:r>
    </w:p>
    <w:p>
      <w:pPr>
        <w:pStyle w:val="Heading1"/>
        <w:spacing w:after="160" w:before="320"/>
      </w:pPr>
      <w:r>
        <w:rPr>
          <w:rFonts w:ascii="Calibri" w:cs="Calibri" w:eastAsia="Calibri" w:hAnsi="Calibri"/>
          <w:b/>
          <w:bCs/>
          <w:color w:val="0F5132"/>
          <w:sz w:val="40"/>
          <w:szCs w:val="40"/>
        </w:rPr>
        <w:t xml:space="preserve">Part 3  |  Loan Book tab</w:t>
      </w:r>
    </w:p>
    <w:p>
      <w:pPr>
        <w:pStyle w:val="Heading2"/>
        <w:spacing w:after="120" w:before="260"/>
      </w:pPr>
      <w:r>
        <w:rPr>
          <w:rFonts w:ascii="Calibri" w:cs="Calibri" w:eastAsia="Calibri" w:hAnsi="Calibri"/>
          <w:b/>
          <w:bCs/>
          <w:color w:val="1B6B3D"/>
          <w:sz w:val="30"/>
          <w:szCs w:val="30"/>
        </w:rPr>
        <w:t xml:space="preserve">3.1  Purpose</w:t>
      </w:r>
    </w:p>
    <w:p>
      <w:pPr>
        <w:spacing w:after="120"/>
      </w:pPr>
      <w:r>
        <w:rPr>
          <w:rFonts w:ascii="Calibri" w:cs="Calibri" w:eastAsia="Calibri" w:hAnsi="Calibri"/>
          <w:sz w:val="22"/>
          <w:szCs w:val="22"/>
        </w:rPr>
        <w:t xml:space="preserve">The Loan Book tab is the bank's operating view of its full lending portfolio, with environmental risk and financed emissions overlays applied. The demonstration portfolio contains tens of thousands of active or under-review loans across retail, SME, commercial, and corporate business units, attributed to the example bank. In a production deployment for a specific bank, the same view operates directly against that bank's core banking system of record.</w:t>
      </w:r>
    </w:p>
    <w:p>
      <w:pPr>
        <w:pStyle w:val="Heading2"/>
        <w:spacing w:after="120" w:before="260"/>
      </w:pPr>
      <w:r>
        <w:rPr>
          <w:rFonts w:ascii="Calibri" w:cs="Calibri" w:eastAsia="Calibri" w:hAnsi="Calibri"/>
          <w:b/>
          <w:bCs/>
          <w:color w:val="1B6B3D"/>
          <w:sz w:val="30"/>
          <w:szCs w:val="30"/>
        </w:rPr>
        <w:t xml:space="preserve">3.2  Filters and search</w:t>
      </w:r>
    </w:p>
    <w:p>
      <w:pPr>
        <w:spacing w:after="120"/>
      </w:pPr>
      <w:r>
        <w:rPr>
          <w:rFonts w:ascii="Calibri" w:cs="Calibri" w:eastAsia="Calibri" w:hAnsi="Calibri"/>
          <w:sz w:val="22"/>
          <w:szCs w:val="22"/>
        </w:rPr>
        <w:t xml:space="preserve">The filter strip across the top of the loan table provides four filters. They are additive: applying more than one filter narrows the visible set to loans that satisfy all of them at once.</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000"/>
        <w:gridCol w:w="7360"/>
      </w:tblGrid>
      <w:tr>
        <w:trPr>
          <w:tblHeader/>
        </w:trPr>
        <w:tc>
          <w:tcPr>
            <w:tcW w:type="dxa" w:w="20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Filter</w:t>
            </w:r>
          </w:p>
        </w:tc>
        <w:tc>
          <w:tcPr>
            <w:tcW w:type="dxa" w:w="73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Behaviour</w:t>
            </w:r>
          </w:p>
        </w:tc>
      </w:tr>
      <w:tr>
        <w:tc>
          <w:tcPr>
            <w:tcW w:type="dxa" w:w="2000"/>
            <w:tcMar>
              <w:top w:type="dxa" w:w="80"/>
              <w:left w:type="dxa" w:w="100"/>
              <w:bottom w:type="dxa" w:w="80"/>
              <w:right w:type="dxa" w:w="100"/>
            </w:tcMar>
          </w:tcPr>
          <w:p>
            <w:pPr>
              <w:spacing w:after="0"/>
            </w:pPr>
            <w:r>
              <w:rPr>
                <w:rFonts w:ascii="Calibri" w:cs="Calibri" w:eastAsia="Calibri" w:hAnsi="Calibri"/>
                <w:b/>
                <w:bCs/>
                <w:sz w:val="22"/>
                <w:szCs w:val="22"/>
              </w:rPr>
              <w:t xml:space="preserve">Free text search</w:t>
            </w:r>
          </w:p>
        </w:tc>
        <w:tc>
          <w:tcPr>
            <w:tcW w:type="dxa" w:w="7360"/>
            <w:tcMar>
              <w:top w:type="dxa" w:w="80"/>
              <w:left w:type="dxa" w:w="100"/>
              <w:bottom w:type="dxa" w:w="80"/>
              <w:right w:type="dxa" w:w="100"/>
            </w:tcMar>
          </w:tcPr>
          <w:p>
            <w:pPr>
              <w:spacing w:after="0"/>
            </w:pPr>
            <w:r>
              <w:rPr>
                <w:rFonts w:ascii="Calibri" w:cs="Calibri" w:eastAsia="Calibri" w:hAnsi="Calibri"/>
                <w:sz w:val="22"/>
                <w:szCs w:val="22"/>
              </w:rPr>
              <w:t xml:space="preserve">Matches against loan identifier, borrower name, branch name, and sector. The table updates as you type. Typing the branch name or the status word into the search field is the fastest path to filter to a specific branch or status.</w:t>
            </w:r>
          </w:p>
        </w:tc>
      </w:tr>
      <w:tr>
        <w:tc>
          <w:tcPr>
            <w:tcW w:type="dxa" w:w="2000"/>
            <w:tcMar>
              <w:top w:type="dxa" w:w="80"/>
              <w:left w:type="dxa" w:w="100"/>
              <w:bottom w:type="dxa" w:w="80"/>
              <w:right w:type="dxa" w:w="100"/>
            </w:tcMar>
          </w:tcPr>
          <w:p>
            <w:pPr>
              <w:spacing w:after="0"/>
            </w:pPr>
            <w:r>
              <w:rPr>
                <w:rFonts w:ascii="Calibri" w:cs="Calibri" w:eastAsia="Calibri" w:hAnsi="Calibri"/>
                <w:b/>
                <w:bCs/>
                <w:sz w:val="22"/>
                <w:szCs w:val="22"/>
              </w:rPr>
              <w:t xml:space="preserve">Taxonomy</w:t>
            </w:r>
          </w:p>
        </w:tc>
        <w:tc>
          <w:tcPr>
            <w:tcW w:type="dxa" w:w="7360"/>
            <w:tcMar>
              <w:top w:type="dxa" w:w="80"/>
              <w:left w:type="dxa" w:w="100"/>
              <w:bottom w:type="dxa" w:w="80"/>
              <w:right w:type="dxa" w:w="100"/>
            </w:tcMar>
          </w:tcPr>
          <w:p>
            <w:pPr>
              <w:spacing w:after="0"/>
            </w:pPr>
            <w:r>
              <w:rPr>
                <w:rFonts w:ascii="Calibri" w:cs="Calibri" w:eastAsia="Calibri" w:hAnsi="Calibri"/>
                <w:sz w:val="22"/>
                <w:szCs w:val="22"/>
              </w:rPr>
              <w:t xml:space="preserve">Green, Amber, Red, or Unclassified per the NRB Green Finance Taxonomy (October 2024). See Part 6.</w:t>
            </w:r>
          </w:p>
        </w:tc>
      </w:tr>
      <w:tr>
        <w:tc>
          <w:tcPr>
            <w:tcW w:type="dxa" w:w="2000"/>
            <w:tcMar>
              <w:top w:type="dxa" w:w="80"/>
              <w:left w:type="dxa" w:w="100"/>
              <w:bottom w:type="dxa" w:w="80"/>
              <w:right w:type="dxa" w:w="100"/>
            </w:tcMar>
          </w:tcPr>
          <w:p>
            <w:pPr>
              <w:spacing w:after="0"/>
            </w:pPr>
            <w:r>
              <w:rPr>
                <w:rFonts w:ascii="Calibri" w:cs="Calibri" w:eastAsia="Calibri" w:hAnsi="Calibri"/>
                <w:b/>
                <w:bCs/>
                <w:sz w:val="22"/>
                <w:szCs w:val="22"/>
              </w:rPr>
              <w:t xml:space="preserve">Business unit</w:t>
            </w:r>
          </w:p>
        </w:tc>
        <w:tc>
          <w:tcPr>
            <w:tcW w:type="dxa" w:w="7360"/>
            <w:tcMar>
              <w:top w:type="dxa" w:w="80"/>
              <w:left w:type="dxa" w:w="100"/>
              <w:bottom w:type="dxa" w:w="80"/>
              <w:right w:type="dxa" w:w="100"/>
            </w:tcMar>
          </w:tcPr>
          <w:p>
            <w:pPr>
              <w:spacing w:after="0"/>
            </w:pPr>
            <w:r>
              <w:rPr>
                <w:rFonts w:ascii="Calibri" w:cs="Calibri" w:eastAsia="Calibri" w:hAnsi="Calibri"/>
                <w:sz w:val="22"/>
                <w:szCs w:val="22"/>
              </w:rPr>
              <w:t xml:space="preserve">Retail, SME, Corporate, or Project Finance.</w:t>
            </w:r>
          </w:p>
        </w:tc>
      </w:tr>
      <w:tr>
        <w:tc>
          <w:tcPr>
            <w:tcW w:type="dxa" w:w="2000"/>
            <w:tcMar>
              <w:top w:type="dxa" w:w="80"/>
              <w:left w:type="dxa" w:w="100"/>
              <w:bottom w:type="dxa" w:w="80"/>
              <w:right w:type="dxa" w:w="100"/>
            </w:tcMar>
          </w:tcPr>
          <w:p>
            <w:pPr>
              <w:spacing w:after="0"/>
            </w:pPr>
            <w:r>
              <w:rPr>
                <w:rFonts w:ascii="Calibri" w:cs="Calibri" w:eastAsia="Calibri" w:hAnsi="Calibri"/>
                <w:b/>
                <w:bCs/>
                <w:sz w:val="22"/>
                <w:szCs w:val="22"/>
              </w:rPr>
              <w:t xml:space="preserve">Sector</w:t>
            </w:r>
          </w:p>
        </w:tc>
        <w:tc>
          <w:tcPr>
            <w:tcW w:type="dxa" w:w="7360"/>
            <w:tcMar>
              <w:top w:type="dxa" w:w="80"/>
              <w:left w:type="dxa" w:w="100"/>
              <w:bottom w:type="dxa" w:w="80"/>
              <w:right w:type="dxa" w:w="100"/>
            </w:tcMar>
          </w:tcPr>
          <w:p>
            <w:pPr>
              <w:spacing w:after="0"/>
            </w:pPr>
            <w:r>
              <w:rPr>
                <w:rFonts w:ascii="Calibri" w:cs="Calibri" w:eastAsia="Calibri" w:hAnsi="Calibri"/>
                <w:sz w:val="22"/>
                <w:szCs w:val="22"/>
              </w:rPr>
              <w:t xml:space="preserve">NRB sector classification of the borrower (for example, Cement and Cement Products, Hydropower, Hotels and Tourism).</w:t>
            </w:r>
          </w:p>
        </w:tc>
      </w:tr>
    </w:tbl>
    <w:p>
      <w:pPr>
        <w:spacing w:after="120"/>
      </w:pPr>
      <w:r>
        <w:rPr>
          <w:rFonts w:ascii="Calibri" w:cs="Calibri" w:eastAsia="Calibri" w:hAnsi="Calibri"/>
          <w:sz w:val="22"/>
          <w:szCs w:val="22"/>
        </w:rPr>
        <w:t xml:space="preserve"/>
      </w:r>
    </w:p>
    <w:tbl>
      <w:tblPr>
        <w:tblW w:type="dxa" w:w="9360"/>
        <w:tblBorders>
          <w:top w:val="single" w:color="F59E0B" w:sz="12"/>
          <w:left w:val="single" w:color="F59E0B" w:sz="12"/>
          <w:bottom w:val="single" w:color="F59E0B" w:sz="12"/>
          <w:right w:val="single" w:color="F59E0B" w:sz="12"/>
          <w:insideH w:val="none" w:color="auto" w:sz="0"/>
          <w:insideV w:val="none" w:color="auto" w:sz="0"/>
        </w:tblBorders>
      </w:tblPr>
      <w:tblGrid>
        <w:gridCol w:w="9360"/>
      </w:tblGrid>
      <w:tr>
        <w:tc>
          <w:tcPr>
            <w:tcW w:type="dxa" w:w="9360"/>
            <w:shd w:fill="FEF3C7" w:color="auto" w:val="clear"/>
            <w:tcMar>
              <w:top w:type="dxa" w:w="160"/>
              <w:left w:type="dxa" w:w="200"/>
              <w:bottom w:type="dxa" w:w="160"/>
              <w:right w:type="dxa" w:w="200"/>
            </w:tcMar>
          </w:tcPr>
          <w:p>
            <w:pPr>
              <w:spacing w:after="100"/>
            </w:pPr>
            <w:r>
              <w:rPr>
                <w:rFonts w:ascii="Calibri" w:cs="Calibri" w:eastAsia="Calibri" w:hAnsi="Calibri"/>
                <w:b/>
                <w:bCs/>
                <w:color w:val="334155"/>
                <w:sz w:val="22"/>
                <w:szCs w:val="22"/>
              </w:rPr>
              <w:t xml:space="preserve">Retail loan pools</w:t>
            </w:r>
          </w:p>
          <w:p>
            <w:pPr>
              <w:spacing w:after="0"/>
            </w:pPr>
            <w:r>
              <w:rPr>
                <w:rFonts w:ascii="Calibri" w:cs="Calibri" w:eastAsia="Calibri" w:hAnsi="Calibri"/>
                <w:sz w:val="22"/>
                <w:szCs w:val="22"/>
              </w:rPr>
              <w:t xml:space="preserve">In the loan table, retail products (mortgages, vehicle, personal, and education loans) are attributed to a synthetic retail loan pool rather than to individual customers. This follows PCAF convention: a single retail customer does not have a meaningful enterprise value, so retail loans are aggregated into a pool and attributed at the pool level using a mortgage-emissions or consumer-loan methodology. The pool appears in the borrower column with a name such as Retail mortgage pool or Retail vehicle pool.</w:t>
            </w:r>
          </w:p>
        </w:tc>
      </w:tr>
    </w:tbl>
    <w:p>
      <w:pPr>
        <w:pStyle w:val="Heading2"/>
        <w:spacing w:after="120" w:before="260"/>
      </w:pPr>
      <w:r>
        <w:rPr>
          <w:rFonts w:ascii="Calibri" w:cs="Calibri" w:eastAsia="Calibri" w:hAnsi="Calibri"/>
          <w:b/>
          <w:bCs/>
          <w:color w:val="1B6B3D"/>
          <w:sz w:val="30"/>
          <w:szCs w:val="30"/>
        </w:rPr>
        <w:t xml:space="preserve">3.3  Sorting and pagination</w:t>
      </w:r>
    </w:p>
    <w:p>
      <w:pPr>
        <w:spacing w:after="120"/>
      </w:pPr>
      <w:r>
        <w:rPr>
          <w:rFonts w:ascii="Calibri" w:cs="Calibri" w:eastAsia="Calibri" w:hAnsi="Calibri"/>
          <w:sz w:val="22"/>
          <w:szCs w:val="22"/>
        </w:rPr>
        <w:t xml:space="preserve">Click any sortable column header to sort the visible result set. By default the loan table is sorted by outstanding NPR balance, largest to smallest. The footer pagination control reports the result set in the form Showing X to Y of Z loans, page A of B. Note that Z is the total number of loans matching the current filters, not the total number of loans the bank holds; clearing all filters returns Z to the full portfolio size.</w:t>
      </w:r>
    </w:p>
    <w:p>
      <w:pPr>
        <w:pStyle w:val="Heading2"/>
        <w:spacing w:after="120" w:before="260"/>
      </w:pPr>
      <w:r>
        <w:rPr>
          <w:rFonts w:ascii="Calibri" w:cs="Calibri" w:eastAsia="Calibri" w:hAnsi="Calibri"/>
          <w:b/>
          <w:bCs/>
          <w:color w:val="1B6B3D"/>
          <w:sz w:val="30"/>
          <w:szCs w:val="30"/>
        </w:rPr>
        <w:t xml:space="preserve">3.4  Borrower detail drilldown</w:t>
      </w:r>
    </w:p>
    <w:p>
      <w:pPr>
        <w:spacing w:after="120"/>
      </w:pPr>
      <w:r>
        <w:rPr>
          <w:rFonts w:ascii="Calibri" w:cs="Calibri" w:eastAsia="Calibri" w:hAnsi="Calibri"/>
          <w:sz w:val="22"/>
          <w:szCs w:val="22"/>
        </w:rPr>
        <w:t xml:space="preserve">Clicking a loan row opens the borrower detail panel. The panel shows the borrower's NRB sector, estimated enterprise value used for PCAF attribution, ownership chain where available, and the list of facilities matched to the borrower. For cement borrowers the facility list is enriched with capacity figures from the Global Cement and Concrete Tracker. The borrower detail panel is the right place to confirm the provenance of any single attribution figure shown elsewhere in the dashboard.</w:t>
      </w:r>
    </w:p>
    <w:p>
      <w:r>
        <w:br w:type="page"/>
      </w:r>
    </w:p>
    <w:p>
      <w:pPr>
        <w:pStyle w:val="Heading1"/>
        <w:spacing w:after="160" w:before="320"/>
      </w:pPr>
      <w:r>
        <w:rPr>
          <w:rFonts w:ascii="Calibri" w:cs="Calibri" w:eastAsia="Calibri" w:hAnsi="Calibri"/>
          <w:b/>
          <w:bCs/>
          <w:color w:val="0F5132"/>
          <w:sz w:val="40"/>
          <w:szCs w:val="40"/>
        </w:rPr>
        <w:t xml:space="preserve">Part 4  |  Manager tab</w:t>
      </w:r>
    </w:p>
    <w:p>
      <w:pPr>
        <w:pStyle w:val="Heading2"/>
        <w:spacing w:after="120" w:before="260"/>
      </w:pPr>
      <w:r>
        <w:rPr>
          <w:rFonts w:ascii="Calibri" w:cs="Calibri" w:eastAsia="Calibri" w:hAnsi="Calibri"/>
          <w:b/>
          <w:bCs/>
          <w:color w:val="1B6B3D"/>
          <w:sz w:val="30"/>
          <w:szCs w:val="30"/>
        </w:rPr>
        <w:t xml:space="preserve">4.1  Purpose and regulatory context</w:t>
      </w:r>
    </w:p>
    <w:p>
      <w:pPr>
        <w:spacing w:after="120"/>
      </w:pPr>
      <w:r>
        <w:rPr>
          <w:rFonts w:ascii="Calibri" w:cs="Calibri" w:eastAsia="Calibri" w:hAnsi="Calibri"/>
          <w:sz w:val="22"/>
          <w:szCs w:val="22"/>
        </w:rPr>
        <w:t xml:space="preserve">The Manager tab is the compliance and credit-committee dashboard for the whole portfolio, structured around NRB Circular 22 (ESRM Guidelines, Second Edition, 2022). It was known as the ESRM Screening tab in v0.1 of this manual; the scope has expanded from ESRM screening alone to cover CAP and covenants, PCAF availability, project-finance screening, and periodic monitoring. The personal officer queue has been moved to its own My Work tab (Part 2).</w:t>
      </w:r>
    </w:p>
    <w:p>
      <w:pPr>
        <w:spacing w:after="120"/>
      </w:pPr>
      <w:r>
        <w:rPr>
          <w:rFonts w:ascii="Calibri" w:cs="Calibri" w:eastAsia="Calibri" w:hAnsi="Calibri"/>
          <w:sz w:val="22"/>
          <w:szCs w:val="22"/>
        </w:rPr>
        <w:t xml:space="preserve">Under NRB Circular 22, the bank is required to perform and document an Environmental and Social Due Diligence (ESDD) on applicable applications, agree a Corrective Action Plan and E&amp;S covenants where the loan is rated Medium or High, and monitor the loan periodically thereafter. The Manager tab structures that work into a consistent screening record and gives the manager a portfolio-wide view of compliance state.</w:t>
      </w:r>
    </w:p>
    <w:p>
      <w:pPr>
        <w:pStyle w:val="Heading2"/>
        <w:spacing w:after="120" w:before="260"/>
      </w:pPr>
      <w:r>
        <w:rPr>
          <w:rFonts w:ascii="Calibri" w:cs="Calibri" w:eastAsia="Calibri" w:hAnsi="Calibri"/>
          <w:b/>
          <w:bCs/>
          <w:color w:val="1B6B3D"/>
          <w:sz w:val="30"/>
          <w:szCs w:val="30"/>
        </w:rPr>
        <w:t xml:space="preserve">4.2  Portfolio banners</w:t>
      </w:r>
    </w:p>
    <w:p>
      <w:pPr>
        <w:spacing w:after="120"/>
      </w:pPr>
      <w:r>
        <w:rPr>
          <w:rFonts w:ascii="Calibri" w:cs="Calibri" w:eastAsia="Calibri" w:hAnsi="Calibri"/>
          <w:sz w:val="22"/>
          <w:szCs w:val="22"/>
        </w:rPr>
        <w:t xml:space="preserve">Two banners sit at the top of the tab and surface the loans that need immediate manager attention. They are always visible when their conditions are met, so a manager landing on this tab in the morning sees the exceptions first.</w:t>
      </w:r>
    </w:p>
    <w:p>
      <w:pPr>
        <w:pStyle w:val="ListParagraph"/>
        <w:numPr>
          <w:ilvl w:val="0"/>
          <w:numId w:val="2"/>
        </w:numPr>
        <w:spacing w:after="80"/>
      </w:pPr>
      <w:r>
        <w:rPr>
          <w:rFonts w:ascii="Calibri" w:cs="Calibri" w:eastAsia="Calibri" w:hAnsi="Calibri"/>
          <w:b/>
          <w:bCs/>
          <w:color w:val="F59E0B"/>
          <w:sz w:val="22"/>
          <w:szCs w:val="22"/>
        </w:rPr>
        <w:t xml:space="preserve">Escalation banner (amber): </w:t>
      </w:r>
      <w:r>
        <w:rPr>
          <w:rFonts w:ascii="Calibri" w:cs="Calibri" w:eastAsia="Calibri" w:hAnsi="Calibri"/>
          <w:sz w:val="22"/>
          <w:szCs w:val="22"/>
        </w:rPr>
        <w:t xml:space="preserve">shows every loan where the officer answered "c" to any question in the Circular 22 ESDD checklist. Any "c" answer indicates an unmitigated E&amp;S concern and triggers credit-committee escalation. Two "c" answers in Section 3 (Social Risks) escalate further under the bank's default escalation rule.</w:t>
      </w:r>
    </w:p>
    <w:p>
      <w:pPr>
        <w:pStyle w:val="ListParagraph"/>
        <w:numPr>
          <w:ilvl w:val="0"/>
          <w:numId w:val="2"/>
        </w:numPr>
        <w:spacing w:after="80"/>
      </w:pPr>
      <w:r>
        <w:rPr>
          <w:rFonts w:ascii="Calibri" w:cs="Calibri" w:eastAsia="Calibri" w:hAnsi="Calibri"/>
          <w:b/>
          <w:bCs/>
          <w:color w:val="DC2626"/>
          <w:sz w:val="22"/>
          <w:szCs w:val="22"/>
        </w:rPr>
        <w:t xml:space="preserve">Overdue-CAP banner (rose): </w:t>
      </w:r>
      <w:r>
        <w:rPr>
          <w:rFonts w:ascii="Calibri" w:cs="Calibri" w:eastAsia="Calibri" w:hAnsi="Calibri"/>
          <w:sz w:val="22"/>
          <w:szCs w:val="22"/>
        </w:rPr>
        <w:t xml:space="preserve">shows every loan with one or more corrective action items past their deadline. Circular 22 §7.3.5 phrases the CAP as time-bound; a missed deadline is a compliance breach, not a slippage.</w:t>
      </w:r>
    </w:p>
    <w:p>
      <w:pPr>
        <w:spacing w:after="120"/>
      </w:pPr>
      <w:r>
        <w:rPr>
          <w:rFonts w:ascii="Calibri" w:cs="Calibri" w:eastAsia="Calibri" w:hAnsi="Calibri"/>
          <w:sz w:val="22"/>
          <w:szCs w:val="22"/>
        </w:rPr>
        <w:t xml:space="preserve">Each banner shows the loans as clickable pills. Clicking a pill selects that loan in the workbench and scrolls the workbench into view.</w:t>
      </w:r>
    </w:p>
    <w:p>
      <w:pPr>
        <w:spacing w:after="120"/>
      </w:pPr>
      <w:r>
        <w:rPr>
          <w:rFonts w:ascii="Calibri" w:cs="Calibri" w:eastAsia="Calibri" w:hAnsi="Calibri"/>
          <w:sz w:val="22"/>
          <w:szCs w:val="22"/>
        </w:rPr>
        <w:t xml:space="preserve">Below the banners is a summary strip: N assigned · N unassigned · N ESDD in progress · N screening complete. This gives the manager a quick pulse on where the portfolio sits before drilling into any single loan.</w:t>
      </w:r>
    </w:p>
    <w:p>
      <w:pPr>
        <w:pStyle w:val="Heading2"/>
        <w:spacing w:after="120" w:before="260"/>
      </w:pPr>
      <w:r>
        <w:rPr>
          <w:rFonts w:ascii="Calibri" w:cs="Calibri" w:eastAsia="Calibri" w:hAnsi="Calibri"/>
          <w:b/>
          <w:bCs/>
          <w:color w:val="1B6B3D"/>
          <w:sz w:val="30"/>
          <w:szCs w:val="30"/>
        </w:rPr>
        <w:t xml:space="preserve">4.3  Application queue and assignment</w:t>
      </w:r>
    </w:p>
    <w:p>
      <w:pPr>
        <w:spacing w:after="120"/>
      </w:pPr>
      <w:r>
        <w:rPr>
          <w:rFonts w:ascii="Calibri" w:cs="Calibri" w:eastAsia="Calibri" w:hAnsi="Calibri"/>
          <w:sz w:val="22"/>
          <w:szCs w:val="22"/>
        </w:rPr>
        <w:t xml:space="preserve">The left-hand application queue lists loans whose status is under-review, sorted by attributed CO2-equivalent emissions in descending order so the highest-exposure reviews are surfaced first. Filter chips above the list let the manager filter to All, Unassigned, or a specific officer.</w:t>
      </w:r>
    </w:p>
    <w:p>
      <w:pPr>
        <w:spacing w:after="120"/>
      </w:pPr>
      <w:r>
        <w:rPr>
          <w:rFonts w:ascii="Calibri" w:cs="Calibri" w:eastAsia="Calibri" w:hAnsi="Calibri"/>
          <w:sz w:val="22"/>
          <w:szCs w:val="22"/>
        </w:rPr>
        <w:t xml:space="preserve">Each row shows the loan's assignment (owner name or Unassigned), the ESDD completion state, and any escalation or overdue-CAP flag. The manager can reassign a loan by clicking the owner name in the workbench header and selecting a different officer from the dropdown.</w:t>
      </w:r>
    </w:p>
    <w:p>
      <w:pPr>
        <w:spacing w:after="120"/>
      </w:pPr>
      <w:r>
        <w:rPr>
          <w:rFonts w:ascii="Calibri" w:cs="Calibri" w:eastAsia="Calibri" w:hAnsi="Calibri"/>
          <w:sz w:val="22"/>
          <w:szCs w:val="22"/>
        </w:rPr>
        <w:t xml:space="preserve">When a loan is selected in the workbench, the application queue collapses to a slim vertical rail on the left to give the workbench more room. Clicking the expand control returns the queue to its full width.</w:t>
      </w:r>
    </w:p>
    <w:p>
      <w:pPr>
        <w:pStyle w:val="Heading2"/>
        <w:spacing w:after="120" w:before="260"/>
      </w:pPr>
      <w:r>
        <w:rPr>
          <w:rFonts w:ascii="Calibri" w:cs="Calibri" w:eastAsia="Calibri" w:hAnsi="Calibri"/>
          <w:b/>
          <w:bCs/>
          <w:color w:val="1B6B3D"/>
          <w:sz w:val="30"/>
          <w:szCs w:val="30"/>
        </w:rPr>
        <w:t xml:space="preserve">4.4  Screening workbench and risk classes</w:t>
      </w:r>
    </w:p>
    <w:p>
      <w:pPr>
        <w:spacing w:after="120"/>
      </w:pPr>
      <w:r>
        <w:rPr>
          <w:rFonts w:ascii="Calibri" w:cs="Calibri" w:eastAsia="Calibri" w:hAnsi="Calibri"/>
          <w:sz w:val="22"/>
          <w:szCs w:val="22"/>
        </w:rPr>
        <w:t xml:space="preserve">The screening workbench is the core decision-support surface for the Manager tab. For the selected borrower it presents:</w:t>
      </w:r>
    </w:p>
    <w:p>
      <w:pPr>
        <w:pStyle w:val="ListParagraph"/>
        <w:numPr>
          <w:ilvl w:val="0"/>
          <w:numId w:val="2"/>
        </w:numPr>
        <w:spacing w:after="80"/>
      </w:pPr>
      <w:r>
        <w:rPr>
          <w:rFonts w:ascii="Calibri" w:cs="Calibri" w:eastAsia="Calibri" w:hAnsi="Calibri"/>
          <w:sz w:val="22"/>
          <w:szCs w:val="22"/>
        </w:rPr>
        <w:t xml:space="preserve">Borrower identification: legal name, NRB sector classification, ownership chain, and headquarters location.</w:t>
      </w:r>
    </w:p>
    <w:p>
      <w:pPr>
        <w:pStyle w:val="ListParagraph"/>
        <w:numPr>
          <w:ilvl w:val="0"/>
          <w:numId w:val="2"/>
        </w:numPr>
        <w:spacing w:after="80"/>
      </w:pPr>
      <w:r>
        <w:rPr>
          <w:rFonts w:ascii="Calibri" w:cs="Calibri" w:eastAsia="Calibri" w:hAnsi="Calibri"/>
          <w:sz w:val="22"/>
          <w:szCs w:val="22"/>
        </w:rPr>
        <w:t xml:space="preserve">Risk classification: Low, Medium, High, or Extreme, with a colour-coded badge and a written rationale.</w:t>
      </w:r>
    </w:p>
    <w:p>
      <w:pPr>
        <w:pStyle w:val="ListParagraph"/>
        <w:numPr>
          <w:ilvl w:val="0"/>
          <w:numId w:val="2"/>
        </w:numPr>
        <w:spacing w:after="80"/>
      </w:pPr>
      <w:r>
        <w:rPr>
          <w:rFonts w:ascii="Calibri" w:cs="Calibri" w:eastAsia="Calibri" w:hAnsi="Calibri"/>
          <w:sz w:val="22"/>
          <w:szCs w:val="22"/>
        </w:rPr>
        <w:t xml:space="preserve">Recommendation: Approve, Approve with conditions, or Decline, with the reasoning the dashboard surfaces. The final credit decision is always made by the bank's authorised credit committee, not by the dashboard.</w:t>
      </w:r>
    </w:p>
    <w:p>
      <w:pPr>
        <w:pStyle w:val="ListParagraph"/>
        <w:numPr>
          <w:ilvl w:val="0"/>
          <w:numId w:val="2"/>
        </w:numPr>
        <w:spacing w:after="80"/>
      </w:pPr>
      <w:r>
        <w:rPr>
          <w:rFonts w:ascii="Calibri" w:cs="Calibri" w:eastAsia="Calibri" w:hAnsi="Calibri"/>
          <w:sz w:val="22"/>
          <w:szCs w:val="22"/>
        </w:rPr>
        <w:t xml:space="preserve">National emissions share: the percentage of Nepal's estimated national CO2 footprint represented by the borrower's matched facilities.</w:t>
      </w:r>
    </w:p>
    <w:p>
      <w:pPr>
        <w:pStyle w:val="ListParagraph"/>
        <w:numPr>
          <w:ilvl w:val="0"/>
          <w:numId w:val="2"/>
        </w:numPr>
        <w:spacing w:after="80"/>
      </w:pPr>
      <w:r>
        <w:rPr>
          <w:rFonts w:ascii="Calibri" w:cs="Calibri" w:eastAsia="Calibri" w:hAnsi="Calibri"/>
          <w:sz w:val="22"/>
          <w:szCs w:val="22"/>
        </w:rPr>
        <w:t xml:space="preserve">Sector benchmark: the borrower's intensity compared to the EDGAR-derived sector average.</w:t>
      </w:r>
    </w:p>
    <w:p>
      <w:pPr>
        <w:pStyle w:val="ListParagraph"/>
        <w:numPr>
          <w:ilvl w:val="0"/>
          <w:numId w:val="2"/>
        </w:numPr>
        <w:spacing w:after="80"/>
      </w:pPr>
      <w:r>
        <w:rPr>
          <w:rFonts w:ascii="Calibri" w:cs="Calibri" w:eastAsia="Calibri" w:hAnsi="Calibri"/>
          <w:sz w:val="22"/>
          <w:szCs w:val="22"/>
        </w:rPr>
        <w:t xml:space="preserve">Air quality nearby: the nearest OpenAQ monitoring station and a banded PM2.5 reading, where available. The OpenAQ network in Nepal is sparse, so for many facilities no nearby reading is available; the dashboard explicitly says so rather than fabricating a value.</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Risk classification colours used throughout the tab are:</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1800"/>
        <w:gridCol w:w="7560"/>
      </w:tblGrid>
      <w:tr>
        <w:trPr>
          <w:tblHeader/>
        </w:trPr>
        <w:tc>
          <w:tcPr>
            <w:tcW w:type="dxa" w:w="18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Class</w:t>
            </w:r>
          </w:p>
        </w:tc>
        <w:tc>
          <w:tcPr>
            <w:tcW w:type="dxa" w:w="75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Meaning</w:t>
            </w:r>
          </w:p>
        </w:tc>
      </w:tr>
      <w:tr>
        <w:tc>
          <w:tcPr>
            <w:tcW w:type="dxa" w:w="1800"/>
            <w:tcMar>
              <w:top w:type="dxa" w:w="80"/>
              <w:left w:type="dxa" w:w="100"/>
              <w:bottom w:type="dxa" w:w="80"/>
              <w:right w:type="dxa" w:w="100"/>
            </w:tcMar>
          </w:tcPr>
          <w:p>
            <w:pPr>
              <w:spacing w:after="0"/>
            </w:pPr>
            <w:r>
              <w:rPr>
                <w:rFonts w:ascii="Calibri" w:cs="Calibri" w:eastAsia="Calibri" w:hAnsi="Calibri"/>
                <w:b/>
                <w:bCs/>
                <w:color w:val="16A34A"/>
                <w:sz w:val="22"/>
                <w:szCs w:val="22"/>
              </w:rPr>
              <w:t xml:space="preserve">Low</w:t>
            </w:r>
          </w:p>
        </w:tc>
        <w:tc>
          <w:tcPr>
            <w:tcW w:type="dxa" w:w="7560"/>
            <w:tcMar>
              <w:top w:type="dxa" w:w="80"/>
              <w:left w:type="dxa" w:w="100"/>
              <w:bottom w:type="dxa" w:w="80"/>
              <w:right w:type="dxa" w:w="100"/>
            </w:tcMar>
          </w:tcPr>
          <w:p>
            <w:pPr>
              <w:spacing w:after="0"/>
            </w:pPr>
            <w:r>
              <w:rPr>
                <w:rFonts w:ascii="Calibri" w:cs="Calibri" w:eastAsia="Calibri" w:hAnsi="Calibri"/>
                <w:sz w:val="22"/>
                <w:szCs w:val="22"/>
              </w:rPr>
              <w:t xml:space="preserve">Standard underwriting. No additional environmental conditions. No CAP required.</w:t>
            </w:r>
          </w:p>
        </w:tc>
      </w:tr>
      <w:tr>
        <w:tc>
          <w:tcPr>
            <w:tcW w:type="dxa" w:w="18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Medium</w:t>
            </w:r>
          </w:p>
        </w:tc>
        <w:tc>
          <w:tcPr>
            <w:tcW w:type="dxa" w:w="7560"/>
            <w:tcMar>
              <w:top w:type="dxa" w:w="80"/>
              <w:left w:type="dxa" w:w="100"/>
              <w:bottom w:type="dxa" w:w="80"/>
              <w:right w:type="dxa" w:w="100"/>
            </w:tcMar>
          </w:tcPr>
          <w:p>
            <w:pPr>
              <w:spacing w:after="0"/>
            </w:pPr>
            <w:r>
              <w:rPr>
                <w:rFonts w:ascii="Calibri" w:cs="Calibri" w:eastAsia="Calibri" w:hAnsi="Calibri"/>
                <w:sz w:val="22"/>
                <w:szCs w:val="22"/>
              </w:rPr>
              <w:t xml:space="preserve">Approve with documented environmental conditions; six-monthly monitoring review. CAP + covenants required per Circular 22 §7.3.5.</w:t>
            </w:r>
          </w:p>
        </w:tc>
      </w:tr>
      <w:tr>
        <w:tc>
          <w:tcPr>
            <w:tcW w:type="dxa" w:w="1800"/>
            <w:tcMar>
              <w:top w:type="dxa" w:w="80"/>
              <w:left w:type="dxa" w:w="100"/>
              <w:bottom w:type="dxa" w:w="80"/>
              <w:right w:type="dxa" w:w="100"/>
            </w:tcMar>
          </w:tcPr>
          <w:p>
            <w:pPr>
              <w:spacing w:after="0"/>
            </w:pPr>
            <w:r>
              <w:rPr>
                <w:rFonts w:ascii="Calibri" w:cs="Calibri" w:eastAsia="Calibri" w:hAnsi="Calibri"/>
                <w:b/>
                <w:bCs/>
                <w:color w:val="F97316"/>
                <w:sz w:val="22"/>
                <w:szCs w:val="22"/>
              </w:rPr>
              <w:t xml:space="preserve">High</w:t>
            </w:r>
          </w:p>
        </w:tc>
        <w:tc>
          <w:tcPr>
            <w:tcW w:type="dxa" w:w="7560"/>
            <w:tcMar>
              <w:top w:type="dxa" w:w="80"/>
              <w:left w:type="dxa" w:w="100"/>
              <w:bottom w:type="dxa" w:w="80"/>
              <w:right w:type="dxa" w:w="100"/>
            </w:tcMar>
          </w:tcPr>
          <w:p>
            <w:pPr>
              <w:spacing w:after="0"/>
            </w:pPr>
            <w:r>
              <w:rPr>
                <w:rFonts w:ascii="Calibri" w:cs="Calibri" w:eastAsia="Calibri" w:hAnsi="Calibri"/>
                <w:sz w:val="22"/>
                <w:szCs w:val="22"/>
              </w:rPr>
              <w:t xml:space="preserve">Approve only with strong mitigation commitments and a board-level credit decision. CAP + covenants required; three-monthly monitoring.</w:t>
            </w:r>
          </w:p>
        </w:tc>
      </w:tr>
      <w:tr>
        <w:tc>
          <w:tcPr>
            <w:tcW w:type="dxa" w:w="1800"/>
            <w:tcMar>
              <w:top w:type="dxa" w:w="80"/>
              <w:left w:type="dxa" w:w="100"/>
              <w:bottom w:type="dxa" w:w="80"/>
              <w:right w:type="dxa" w:w="100"/>
            </w:tcMar>
          </w:tcPr>
          <w:p>
            <w:pPr>
              <w:spacing w:after="0"/>
            </w:pPr>
            <w:r>
              <w:rPr>
                <w:rFonts w:ascii="Calibri" w:cs="Calibri" w:eastAsia="Calibri" w:hAnsi="Calibri"/>
                <w:b/>
                <w:bCs/>
                <w:color w:val="DC2626"/>
                <w:sz w:val="22"/>
                <w:szCs w:val="22"/>
              </w:rPr>
              <w:t xml:space="preserve">Extreme</w:t>
            </w:r>
          </w:p>
        </w:tc>
        <w:tc>
          <w:tcPr>
            <w:tcW w:type="dxa" w:w="7560"/>
            <w:tcMar>
              <w:top w:type="dxa" w:w="80"/>
              <w:left w:type="dxa" w:w="100"/>
              <w:bottom w:type="dxa" w:w="80"/>
              <w:right w:type="dxa" w:w="100"/>
            </w:tcMar>
          </w:tcPr>
          <w:p>
            <w:pPr>
              <w:spacing w:after="0"/>
            </w:pPr>
            <w:r>
              <w:rPr>
                <w:rFonts w:ascii="Calibri" w:cs="Calibri" w:eastAsia="Calibri" w:hAnsi="Calibri"/>
                <w:sz w:val="22"/>
                <w:szCs w:val="22"/>
              </w:rPr>
              <w:t xml:space="preserve">Recommend decline. Where the bank elects to proceed, escalate to the ESG committee for formal exception. Monthly monitoring.</w:t>
            </w:r>
          </w:p>
        </w:tc>
      </w:tr>
    </w:tbl>
    <w:p>
      <w:pPr>
        <w:spacing w:after="12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B6B3D"/>
          <w:sz w:val="30"/>
          <w:szCs w:val="30"/>
        </w:rPr>
        <w:t xml:space="preserve">4.5  Workbench sub-tabs</w:t>
      </w:r>
    </w:p>
    <w:p>
      <w:pPr>
        <w:spacing w:after="120"/>
      </w:pPr>
      <w:r>
        <w:rPr>
          <w:rFonts w:ascii="Calibri" w:cs="Calibri" w:eastAsia="Calibri" w:hAnsi="Calibri"/>
          <w:sz w:val="22"/>
          <w:szCs w:val="22"/>
        </w:rPr>
        <w:t xml:space="preserve">The workbench splits into up to five sub-tabs, depending on the selected loan. Hydropower docs appears only for hydropower borrowers; Facility map appears only when the borrower has at least one geolocated facility.</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200"/>
        <w:gridCol w:w="7160"/>
      </w:tblGrid>
      <w:tr>
        <w:trPr>
          <w:tblHeader/>
        </w:trPr>
        <w:tc>
          <w:tcPr>
            <w:tcW w:type="dxa" w:w="22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Sub-tab</w:t>
            </w:r>
          </w:p>
        </w:tc>
        <w:tc>
          <w:tcPr>
            <w:tcW w:type="dxa" w:w="71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Purpose</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Overview</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Borrower identification, risk classification, recommendation, national emissions share, sector benchmark, and OpenAQ air quality nearby. The default landing sub-tab for the workbench.</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CAP + Covenants</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Corrective Action Plan items, E&amp;S covenants, and periodic monitoring reports for the selected loan. Circular 22 §7.3.5 and §7.3.7. See Part 9.</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PCAF</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PCAF data-availability status for the borrower and the derived Score 1-5. Read-only mirror of the per-loan PCAF wizard; edits are made from the wizard itself. See Part 8.</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Hydropower docs</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Hydropower-specific documentation matrix from Circular 22 Annex 2: EIA/IEE, environmental flow, resettlement discharge, biodiversity offset, seismic assessment. Only visible when the borrower's sector is hydropower.</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Facility map</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Interactive map of the borrower's matched Climate TRACE and GCCT facilities. Only visible when the borrower has at least one geolocated facility.</w:t>
            </w:r>
          </w:p>
        </w:tc>
      </w:tr>
    </w:tbl>
    <w:p>
      <w:pPr>
        <w:spacing w:after="12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B6B3D"/>
          <w:sz w:val="30"/>
          <w:szCs w:val="30"/>
        </w:rPr>
        <w:t xml:space="preserve">4.6  Assignment and lock model</w:t>
      </w:r>
    </w:p>
    <w:p>
      <w:pPr>
        <w:spacing w:after="120"/>
      </w:pPr>
      <w:r>
        <w:rPr>
          <w:rFonts w:ascii="Calibri" w:cs="Calibri" w:eastAsia="Calibri" w:hAnsi="Calibri"/>
          <w:sz w:val="22"/>
          <w:szCs w:val="22"/>
        </w:rPr>
        <w:t xml:space="preserve">Every loan can be assigned to exactly one officer at a time. When an officer opens an unassigned loan through any wizard, the loan is auto-claimed for that officer; the manager can override this by selecting a different owner from the workbench dropdown.</w:t>
      </w:r>
    </w:p>
    <w:p>
      <w:pPr>
        <w:spacing w:after="120"/>
      </w:pPr>
      <w:r>
        <w:rPr>
          <w:rFonts w:ascii="Calibri" w:cs="Calibri" w:eastAsia="Calibri" w:hAnsi="Calibri"/>
          <w:sz w:val="22"/>
          <w:szCs w:val="22"/>
        </w:rPr>
        <w:t xml:space="preserve">When a different officer navigates to an assigned loan, they see the workbench and every wizard in read-only mode with a rose banner at the top: "Locked, owned by [officer name]. Ask the manager to reassign this loan before editing." This is enforced both in the interface (inputs disabled) and in the underlying API (write attempts are rejected), so a URL-crafter cannot bypass it.</w:t>
      </w:r>
    </w:p>
    <w:p>
      <w:pPr>
        <w:spacing w:after="120"/>
      </w:pPr>
      <w:r>
        <w:rPr>
          <w:rFonts w:ascii="Calibri" w:cs="Calibri" w:eastAsia="Calibri" w:hAnsi="Calibri"/>
          <w:sz w:val="22"/>
          <w:szCs w:val="22"/>
        </w:rPr>
        <w:t xml:space="preserve">The manager can reassign at any time via the officer dropdown. Reassignment does not delete prior work; every response on the ESDD, PF screening, taxonomy, PCAF, and CAP surfaces is preserved and carries a captured-by attribution for audit.</w:t>
      </w:r>
    </w:p>
    <w:p>
      <w:r>
        <w:br w:type="page"/>
      </w:r>
    </w:p>
    <w:p>
      <w:pPr>
        <w:pStyle w:val="Heading1"/>
        <w:spacing w:after="160" w:before="320"/>
      </w:pPr>
      <w:r>
        <w:rPr>
          <w:rFonts w:ascii="Calibri" w:cs="Calibri" w:eastAsia="Calibri" w:hAnsi="Calibri"/>
          <w:b/>
          <w:bCs/>
          <w:color w:val="0F5132"/>
          <w:sz w:val="40"/>
          <w:szCs w:val="40"/>
        </w:rPr>
        <w:t xml:space="preserve">Part 5  |  ESDD wizard</w:t>
      </w:r>
    </w:p>
    <w:p>
      <w:pPr>
        <w:pStyle w:val="Heading2"/>
        <w:spacing w:after="120" w:before="260"/>
      </w:pPr>
      <w:r>
        <w:rPr>
          <w:rFonts w:ascii="Calibri" w:cs="Calibri" w:eastAsia="Calibri" w:hAnsi="Calibri"/>
          <w:b/>
          <w:bCs/>
          <w:color w:val="1B6B3D"/>
          <w:sz w:val="30"/>
          <w:szCs w:val="30"/>
        </w:rPr>
        <w:t xml:space="preserve">5.1  Purpose and regulatory context</w:t>
      </w:r>
    </w:p>
    <w:p>
      <w:pPr>
        <w:spacing w:after="120"/>
      </w:pPr>
      <w:r>
        <w:rPr>
          <w:rFonts w:ascii="Calibri" w:cs="Calibri" w:eastAsia="Calibri" w:hAnsi="Calibri"/>
          <w:sz w:val="22"/>
          <w:szCs w:val="22"/>
        </w:rPr>
        <w:t xml:space="preserve">The ESDD wizard walks the loan officer through the NRB Circular 22 §5 Annex 5 checklist for a single loan. Circular 22 defines a sector-agnostic checklist of twelve questions across three sections (General, Environmental Health &amp; Safety, and Social). Each answer is captured against a stable question identifier so responses persist across sessions and are visible to the manager on the workbench.</w:t>
      </w:r>
    </w:p>
    <w:p>
      <w:pPr>
        <w:spacing w:after="120"/>
      </w:pPr>
      <w:r>
        <w:rPr>
          <w:rFonts w:ascii="Calibri" w:cs="Calibri" w:eastAsia="Calibri" w:hAnsi="Calibri"/>
          <w:sz w:val="22"/>
          <w:szCs w:val="22"/>
        </w:rPr>
        <w:t xml:space="preserve">The wizard replaces the sliding checklist drawer that appeared inside the workbench in v0.1. It lives at its own URL (/esdd/[loanId]) so an officer can start it from the My Work tab, work through it in one sitting, and return to their queue with a saved screening.</w:t>
      </w:r>
    </w:p>
    <w:p>
      <w:pPr>
        <w:pStyle w:val="Heading2"/>
        <w:spacing w:after="120" w:before="260"/>
      </w:pPr>
      <w:r>
        <w:rPr>
          <w:rFonts w:ascii="Calibri" w:cs="Calibri" w:eastAsia="Calibri" w:hAnsi="Calibri"/>
          <w:b/>
          <w:bCs/>
          <w:color w:val="1B6B3D"/>
          <w:sz w:val="30"/>
          <w:szCs w:val="30"/>
        </w:rPr>
        <w:t xml:space="preserve">5.2  Structure</w:t>
      </w:r>
    </w:p>
    <w:p>
      <w:pPr>
        <w:spacing w:after="120"/>
      </w:pPr>
      <w:r>
        <w:rPr>
          <w:rFonts w:ascii="Calibri" w:cs="Calibri" w:eastAsia="Calibri" w:hAnsi="Calibri"/>
          <w:sz w:val="22"/>
          <w:szCs w:val="22"/>
        </w:rPr>
        <w:t xml:space="preserve">The wizard has five steps: Basic Information (step 0), then one step per section (steps 1, 2, 3), then a Review and Submit step (step 4). Each answer POSTs on change so nothing is lost if the officer navigates away mid-wizard. Existing responses are loaded on mount, so the officer can always resume where they left off.</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000"/>
        <w:gridCol w:w="1400"/>
        <w:gridCol w:w="5960"/>
      </w:tblGrid>
      <w:tr>
        <w:trPr>
          <w:tblHeader/>
        </w:trPr>
        <w:tc>
          <w:tcPr>
            <w:tcW w:type="dxa" w:w="20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Section</w:t>
            </w:r>
          </w:p>
        </w:tc>
        <w:tc>
          <w:tcPr>
            <w:tcW w:type="dxa" w:w="14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Questions</w:t>
            </w:r>
          </w:p>
        </w:tc>
        <w:tc>
          <w:tcPr>
            <w:tcW w:type="dxa" w:w="59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Coverage</w:t>
            </w:r>
          </w:p>
        </w:tc>
      </w:tr>
      <w:tr>
        <w:tc>
          <w:tcPr>
            <w:tcW w:type="dxa" w:w="2000"/>
            <w:tcMar>
              <w:top w:type="dxa" w:w="80"/>
              <w:left w:type="dxa" w:w="100"/>
              <w:bottom w:type="dxa" w:w="80"/>
              <w:right w:type="dxa" w:w="100"/>
            </w:tcMar>
          </w:tcPr>
          <w:p>
            <w:pPr>
              <w:spacing w:after="0"/>
            </w:pPr>
            <w:r>
              <w:rPr>
                <w:rFonts w:ascii="Calibri" w:cs="Calibri" w:eastAsia="Calibri" w:hAnsi="Calibri"/>
                <w:b/>
                <w:bCs/>
                <w:sz w:val="22"/>
                <w:szCs w:val="22"/>
              </w:rPr>
              <w:t xml:space="preserve">1. General Risk</w:t>
            </w:r>
          </w:p>
        </w:tc>
        <w:tc>
          <w:tcPr>
            <w:tcW w:type="dxa" w:w="1400"/>
            <w:tcMar>
              <w:top w:type="dxa" w:w="80"/>
              <w:left w:type="dxa" w:w="100"/>
              <w:bottom w:type="dxa" w:w="80"/>
              <w:right w:type="dxa" w:w="100"/>
            </w:tcMar>
          </w:tcPr>
          <w:p>
            <w:pPr>
              <w:spacing w:after="0"/>
            </w:pPr>
            <w:r>
              <w:rPr>
                <w:rFonts w:ascii="Calibri" w:cs="Calibri" w:eastAsia="Calibri" w:hAnsi="Calibri"/>
                <w:sz w:val="22"/>
                <w:szCs w:val="22"/>
              </w:rPr>
              <w:t xml:space="preserve">1.1 to 1.3</w:t>
            </w:r>
          </w:p>
        </w:tc>
        <w:tc>
          <w:tcPr>
            <w:tcW w:type="dxa" w:w="5960"/>
            <w:tcMar>
              <w:top w:type="dxa" w:w="80"/>
              <w:left w:type="dxa" w:w="100"/>
              <w:bottom w:type="dxa" w:w="80"/>
              <w:right w:type="dxa" w:w="100"/>
            </w:tcMar>
          </w:tcPr>
          <w:p>
            <w:pPr>
              <w:spacing w:after="0"/>
            </w:pPr>
            <w:r>
              <w:rPr>
                <w:rFonts w:ascii="Calibri" w:cs="Calibri" w:eastAsia="Calibri" w:hAnsi="Calibri"/>
                <w:sz w:val="22"/>
                <w:szCs w:val="22"/>
              </w:rPr>
              <w:t xml:space="preserve">Legal permits and E&amp;S incidents; stakeholder grievances and NGO campaigns; overlap with eco-sensitive areas (national parks, buffer zones, protected water bodies).</w:t>
            </w:r>
          </w:p>
        </w:tc>
      </w:tr>
      <w:tr>
        <w:tc>
          <w:tcPr>
            <w:tcW w:type="dxa" w:w="2000"/>
            <w:tcMar>
              <w:top w:type="dxa" w:w="80"/>
              <w:left w:type="dxa" w:w="100"/>
              <w:bottom w:type="dxa" w:w="80"/>
              <w:right w:type="dxa" w:w="100"/>
            </w:tcMar>
          </w:tcPr>
          <w:p>
            <w:pPr>
              <w:spacing w:after="0"/>
            </w:pPr>
            <w:r>
              <w:rPr>
                <w:rFonts w:ascii="Calibri" w:cs="Calibri" w:eastAsia="Calibri" w:hAnsi="Calibri"/>
                <w:b/>
                <w:bCs/>
                <w:sz w:val="22"/>
                <w:szCs w:val="22"/>
              </w:rPr>
              <w:t xml:space="preserve">2. Environmental Health and Safety</w:t>
            </w:r>
          </w:p>
        </w:tc>
        <w:tc>
          <w:tcPr>
            <w:tcW w:type="dxa" w:w="1400"/>
            <w:tcMar>
              <w:top w:type="dxa" w:w="80"/>
              <w:left w:type="dxa" w:w="100"/>
              <w:bottom w:type="dxa" w:w="80"/>
              <w:right w:type="dxa" w:w="100"/>
            </w:tcMar>
          </w:tcPr>
          <w:p>
            <w:pPr>
              <w:spacing w:after="0"/>
            </w:pPr>
            <w:r>
              <w:rPr>
                <w:rFonts w:ascii="Calibri" w:cs="Calibri" w:eastAsia="Calibri" w:hAnsi="Calibri"/>
                <w:sz w:val="22"/>
                <w:szCs w:val="22"/>
              </w:rPr>
              <w:t xml:space="preserve">2.1 to 2.5</w:t>
            </w:r>
          </w:p>
        </w:tc>
        <w:tc>
          <w:tcPr>
            <w:tcW w:type="dxa" w:w="5960"/>
            <w:tcMar>
              <w:top w:type="dxa" w:w="80"/>
              <w:left w:type="dxa" w:w="100"/>
              <w:bottom w:type="dxa" w:w="80"/>
              <w:right w:type="dxa" w:w="100"/>
            </w:tcMar>
          </w:tcPr>
          <w:p>
            <w:pPr>
              <w:spacing w:after="0"/>
            </w:pPr>
            <w:r>
              <w:rPr>
                <w:rFonts w:ascii="Calibri" w:cs="Calibri" w:eastAsia="Calibri" w:hAnsi="Calibri"/>
                <w:sz w:val="22"/>
                <w:szCs w:val="22"/>
              </w:rPr>
              <w:t xml:space="preserve">Air and noise pollution; water pollution and effluent treatment; land contamination and waste handling; energy efficiency and renewable energy investment; climate risks and opportunities (2022 addition, physical + transition).</w:t>
            </w:r>
          </w:p>
        </w:tc>
      </w:tr>
      <w:tr>
        <w:tc>
          <w:tcPr>
            <w:tcW w:type="dxa" w:w="2000"/>
            <w:tcMar>
              <w:top w:type="dxa" w:w="80"/>
              <w:left w:type="dxa" w:w="100"/>
              <w:bottom w:type="dxa" w:w="80"/>
              <w:right w:type="dxa" w:w="100"/>
            </w:tcMar>
          </w:tcPr>
          <w:p>
            <w:pPr>
              <w:spacing w:after="0"/>
            </w:pPr>
            <w:r>
              <w:rPr>
                <w:rFonts w:ascii="Calibri" w:cs="Calibri" w:eastAsia="Calibri" w:hAnsi="Calibri"/>
                <w:b/>
                <w:bCs/>
                <w:sz w:val="22"/>
                <w:szCs w:val="22"/>
              </w:rPr>
              <w:t xml:space="preserve">3. Social Risks</w:t>
            </w:r>
          </w:p>
        </w:tc>
        <w:tc>
          <w:tcPr>
            <w:tcW w:type="dxa" w:w="1400"/>
            <w:tcMar>
              <w:top w:type="dxa" w:w="80"/>
              <w:left w:type="dxa" w:w="100"/>
              <w:bottom w:type="dxa" w:w="80"/>
              <w:right w:type="dxa" w:w="100"/>
            </w:tcMar>
          </w:tcPr>
          <w:p>
            <w:pPr>
              <w:spacing w:after="0"/>
            </w:pPr>
            <w:r>
              <w:rPr>
                <w:rFonts w:ascii="Calibri" w:cs="Calibri" w:eastAsia="Calibri" w:hAnsi="Calibri"/>
                <w:sz w:val="22"/>
                <w:szCs w:val="22"/>
              </w:rPr>
              <w:t xml:space="preserve">3.1 to 3.4</w:t>
            </w:r>
          </w:p>
        </w:tc>
        <w:tc>
          <w:tcPr>
            <w:tcW w:type="dxa" w:w="5960"/>
            <w:tcMar>
              <w:top w:type="dxa" w:w="80"/>
              <w:left w:type="dxa" w:w="100"/>
              <w:bottom w:type="dxa" w:w="80"/>
              <w:right w:type="dxa" w:w="100"/>
            </w:tcMar>
          </w:tcPr>
          <w:p>
            <w:pPr>
              <w:spacing w:after="0"/>
            </w:pPr>
            <w:r>
              <w:rPr>
                <w:rFonts w:ascii="Calibri" w:cs="Calibri" w:eastAsia="Calibri" w:hAnsi="Calibri"/>
                <w:sz w:val="22"/>
                <w:szCs w:val="22"/>
              </w:rPr>
              <w:t xml:space="preserve">Fire risk and occupational health &amp; safety; labour and working conditions (with child labour and forced labour termination triggers); community health, safety and security; community and indigenous-people consultation.</w:t>
            </w:r>
          </w:p>
        </w:tc>
      </w:tr>
    </w:tbl>
    <w:p>
      <w:pPr>
        <w:spacing w:after="12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B6B3D"/>
          <w:sz w:val="30"/>
          <w:szCs w:val="30"/>
        </w:rPr>
        <w:t xml:space="preserve">5.3  Answer options and the four-way choice</w:t>
      </w:r>
    </w:p>
    <w:p>
      <w:pPr>
        <w:spacing w:after="120"/>
      </w:pPr>
      <w:r>
        <w:rPr>
          <w:rFonts w:ascii="Calibri" w:cs="Calibri" w:eastAsia="Calibri" w:hAnsi="Calibri"/>
          <w:sz w:val="22"/>
          <w:szCs w:val="22"/>
        </w:rPr>
        <w:t xml:space="preserve">Every question offers exactly four answer options, labelled (a), (b), (c), and (d). The options are worded verbatim from Circular 22. In general:</w:t>
      </w:r>
    </w:p>
    <w:p>
      <w:pPr>
        <w:pStyle w:val="ListParagraph"/>
        <w:numPr>
          <w:ilvl w:val="0"/>
          <w:numId w:val="2"/>
        </w:numPr>
        <w:spacing w:after="80"/>
      </w:pPr>
      <w:r>
        <w:rPr>
          <w:rFonts w:ascii="Calibri" w:cs="Calibri" w:eastAsia="Calibri" w:hAnsi="Calibri"/>
          <w:b/>
          <w:bCs/>
          <w:color w:val="16A34A"/>
          <w:sz w:val="22"/>
          <w:szCs w:val="22"/>
        </w:rPr>
        <w:t xml:space="preserve">(a): </w:t>
      </w:r>
      <w:r>
        <w:rPr>
          <w:rFonts w:ascii="Calibri" w:cs="Calibri" w:eastAsia="Calibri" w:hAnsi="Calibri"/>
          <w:sz w:val="22"/>
          <w:szCs w:val="22"/>
        </w:rPr>
        <w:t xml:space="preserve">No evidence of concern, or all controls are in place.</w:t>
      </w:r>
    </w:p>
    <w:p>
      <w:pPr>
        <w:pStyle w:val="ListParagraph"/>
        <w:numPr>
          <w:ilvl w:val="0"/>
          <w:numId w:val="2"/>
        </w:numPr>
        <w:spacing w:after="80"/>
      </w:pPr>
      <w:r>
        <w:rPr>
          <w:rFonts w:ascii="Calibri" w:cs="Calibri" w:eastAsia="Calibri" w:hAnsi="Calibri"/>
          <w:b/>
          <w:bCs/>
          <w:color w:val="F59E0B"/>
          <w:sz w:val="22"/>
          <w:szCs w:val="22"/>
        </w:rPr>
        <w:t xml:space="preserve">(b): </w:t>
      </w:r>
      <w:r>
        <w:rPr>
          <w:rFonts w:ascii="Calibri" w:cs="Calibri" w:eastAsia="Calibri" w:hAnsi="Calibri"/>
          <w:sz w:val="22"/>
          <w:szCs w:val="22"/>
        </w:rPr>
        <w:t xml:space="preserve">Some concern, but the client has taken definite steps to address it.</w:t>
      </w:r>
    </w:p>
    <w:p>
      <w:pPr>
        <w:pStyle w:val="ListParagraph"/>
        <w:numPr>
          <w:ilvl w:val="0"/>
          <w:numId w:val="2"/>
        </w:numPr>
        <w:spacing w:after="80"/>
      </w:pPr>
      <w:r>
        <w:rPr>
          <w:rFonts w:ascii="Calibri" w:cs="Calibri" w:eastAsia="Calibri" w:hAnsi="Calibri"/>
          <w:b/>
          <w:bCs/>
          <w:color w:val="DC2626"/>
          <w:sz w:val="22"/>
          <w:szCs w:val="22"/>
        </w:rPr>
        <w:t xml:space="preserve">(c): </w:t>
      </w:r>
      <w:r>
        <w:rPr>
          <w:rFonts w:ascii="Calibri" w:cs="Calibri" w:eastAsia="Calibri" w:hAnsi="Calibri"/>
          <w:sz w:val="22"/>
          <w:szCs w:val="22"/>
        </w:rPr>
        <w:t xml:space="preserve">Concern exists and the client has no definite plan to address it. Any (c) answer flags the loan for credit-committee escalation. Two (c) answers in Section 3 (Social Risks) trigger a firmer escalation route under the bank's default rule.</w:t>
      </w:r>
    </w:p>
    <w:p>
      <w:pPr>
        <w:pStyle w:val="ListParagraph"/>
        <w:numPr>
          <w:ilvl w:val="0"/>
          <w:numId w:val="2"/>
        </w:numPr>
        <w:spacing w:after="80"/>
      </w:pPr>
      <w:r>
        <w:rPr>
          <w:rFonts w:ascii="Calibri" w:cs="Calibri" w:eastAsia="Calibri" w:hAnsi="Calibri"/>
          <w:b/>
          <w:bCs/>
          <w:color w:val="64748B"/>
          <w:sz w:val="22"/>
          <w:szCs w:val="22"/>
        </w:rPr>
        <w:t xml:space="preserve">(d): </w:t>
      </w:r>
      <w:r>
        <w:rPr>
          <w:rFonts w:ascii="Calibri" w:cs="Calibri" w:eastAsia="Calibri" w:hAnsi="Calibri"/>
          <w:sz w:val="22"/>
          <w:szCs w:val="22"/>
        </w:rPr>
        <w:t xml:space="preserve">Not applicable. The officer must justify a Not Applicable answer in the Remarks field.</w:t>
      </w:r>
    </w:p>
    <w:p>
      <w:pPr>
        <w:spacing w:after="120"/>
      </w:pPr>
      <w:r>
        <w:rPr>
          <w:rFonts w:ascii="Calibri" w:cs="Calibri" w:eastAsia="Calibri" w:hAnsi="Calibri"/>
          <w:sz w:val="22"/>
          <w:szCs w:val="22"/>
        </w:rPr>
        <w:t xml:space="preserve">Below each question the wizard shows the NRB Annex 5 guidance notes verbatim (physical evidence to look for, permits to verify, sample checks to run). These are the same notes NRB distributes with the Circular 22 Excel checklist.</w:t>
      </w:r>
    </w:p>
    <w:p>
      <w:pPr>
        <w:pStyle w:val="Heading2"/>
        <w:spacing w:after="120" w:before="260"/>
      </w:pPr>
      <w:r>
        <w:rPr>
          <w:rFonts w:ascii="Calibri" w:cs="Calibri" w:eastAsia="Calibri" w:hAnsi="Calibri"/>
          <w:b/>
          <w:bCs/>
          <w:color w:val="1B6B3D"/>
          <w:sz w:val="30"/>
          <w:szCs w:val="30"/>
        </w:rPr>
        <w:t xml:space="preserve">5.4  Remarks and evidence attachments</w:t>
      </w:r>
    </w:p>
    <w:p>
      <w:pPr>
        <w:spacing w:after="120"/>
      </w:pPr>
      <w:r>
        <w:rPr>
          <w:rFonts w:ascii="Calibri" w:cs="Calibri" w:eastAsia="Calibri" w:hAnsi="Calibri"/>
          <w:sz w:val="22"/>
          <w:szCs w:val="22"/>
        </w:rPr>
        <w:t xml:space="preserve">Each question has a Remarks textarea where the officer records what they saw and how they concluded. The bank can require remarks per section through the Settings page (Part 12); this is one of the settings fully wired in the current build.</w:t>
      </w:r>
    </w:p>
    <w:p>
      <w:pPr>
        <w:spacing w:after="120"/>
      </w:pPr>
      <w:r>
        <w:rPr>
          <w:rFonts w:ascii="Calibri" w:cs="Calibri" w:eastAsia="Calibri" w:hAnsi="Calibri"/>
          <w:sz w:val="22"/>
          <w:szCs w:val="22"/>
        </w:rPr>
        <w:t xml:space="preserve">Below the Remarks textarea, an Attachments panel accepts multiple files (PDF, image, Word doc, up to 10 MB per file) as the source evidence. See Part 10 for the general rules that apply to evidence attachments across the platform.</w:t>
      </w:r>
    </w:p>
    <w:p>
      <w:pPr>
        <w:pStyle w:val="Heading2"/>
        <w:spacing w:after="120" w:before="260"/>
      </w:pPr>
      <w:r>
        <w:rPr>
          <w:rFonts w:ascii="Calibri" w:cs="Calibri" w:eastAsia="Calibri" w:hAnsi="Calibri"/>
          <w:b/>
          <w:bCs/>
          <w:color w:val="1B6B3D"/>
          <w:sz w:val="30"/>
          <w:szCs w:val="30"/>
        </w:rPr>
        <w:t xml:space="preserve">5.5  Reviewing and saving</w:t>
      </w:r>
    </w:p>
    <w:p>
      <w:pPr>
        <w:spacing w:after="120"/>
      </w:pPr>
      <w:r>
        <w:rPr>
          <w:rFonts w:ascii="Calibri" w:cs="Calibri" w:eastAsia="Calibri" w:hAnsi="Calibri"/>
          <w:sz w:val="22"/>
          <w:szCs w:val="22"/>
        </w:rPr>
        <w:t xml:space="preserve">The Review step (step 4) shows the full checklist with every answer, remark, and attachment in one place, computes the ESRM risk class (Low, Medium, High, Extreme), and lists any escalation flags. Saving from this step commits the screening as the loan's current ESRM record and returns the officer to the My Work tab.</w:t>
      </w:r>
    </w:p>
    <w:p>
      <w:pPr>
        <w:spacing w:after="120"/>
      </w:pPr>
      <w:r>
        <w:rPr>
          <w:rFonts w:ascii="Calibri" w:cs="Calibri" w:eastAsia="Calibri" w:hAnsi="Calibri"/>
          <w:sz w:val="22"/>
          <w:szCs w:val="22"/>
        </w:rPr>
        <w:t xml:space="preserve">The wizard renders read-only when the current officer is not the loan's owner. The lock banner explains why every input is disabled and points to the manager as the path to reassignment (Part 4.6).</w:t>
      </w:r>
    </w:p>
    <w:p>
      <w:r>
        <w:br w:type="page"/>
      </w:r>
    </w:p>
    <w:p>
      <w:pPr>
        <w:pStyle w:val="Heading1"/>
        <w:spacing w:after="160" w:before="320"/>
      </w:pPr>
      <w:r>
        <w:rPr>
          <w:rFonts w:ascii="Calibri" w:cs="Calibri" w:eastAsia="Calibri" w:hAnsi="Calibri"/>
          <w:b/>
          <w:bCs/>
          <w:color w:val="0F5132"/>
          <w:sz w:val="40"/>
          <w:szCs w:val="40"/>
        </w:rPr>
        <w:t xml:space="preserve">Part 6  |  Green Finance Taxonomy tab and wizard</w:t>
      </w:r>
    </w:p>
    <w:p>
      <w:pPr>
        <w:pStyle w:val="Heading2"/>
        <w:spacing w:after="120" w:before="260"/>
      </w:pPr>
      <w:r>
        <w:rPr>
          <w:rFonts w:ascii="Calibri" w:cs="Calibri" w:eastAsia="Calibri" w:hAnsi="Calibri"/>
          <w:b/>
          <w:bCs/>
          <w:color w:val="1B6B3D"/>
          <w:sz w:val="30"/>
          <w:szCs w:val="30"/>
        </w:rPr>
        <w:t xml:space="preserve">6.1  Purpose and regulatory context</w:t>
      </w:r>
    </w:p>
    <w:p>
      <w:pPr>
        <w:spacing w:after="120"/>
      </w:pPr>
      <w:r>
        <w:rPr>
          <w:rFonts w:ascii="Calibri" w:cs="Calibri" w:eastAsia="Calibri" w:hAnsi="Calibri"/>
          <w:sz w:val="22"/>
          <w:szCs w:val="22"/>
        </w:rPr>
        <w:t xml:space="preserve">The Taxonomy tab classifies the bank's portfolio against the NRB Green Finance Taxonomy (October 2024). The classification supports the bank's reporting on green lending share, its green bond eligibility analysis, and the alignment view that NFRS disclosure requires. The annual filing to NRBSIS is exported from the NFRS tab (Part 11) using Annex 4b of the taxonomy.</w:t>
      </w:r>
    </w:p>
    <w:p>
      <w:pPr>
        <w:spacing w:after="120"/>
      </w:pPr>
      <w:r>
        <w:rPr>
          <w:rFonts w:ascii="Calibri" w:cs="Calibri" w:eastAsia="Calibri" w:hAnsi="Calibri"/>
          <w:sz w:val="22"/>
          <w:szCs w:val="22"/>
        </w:rPr>
        <w:t xml:space="preserve">Per the October 2024 NRB update, all hydropower is classified in the taxonomy regardless of installed capacity; classification depends on the lifecycle GHG emissions per kWh (below 100 gCO2e/kWh for Green, 100 to 425 gCO2e/kWh for Amber) plus a set of environmental and social gates (EIA/IEE current; site avoids protected areas, biodiversity hotspots, and disaster-prone zones). The earlier "under 10 MW" rule of thumb is no longer used.</w:t>
      </w:r>
    </w:p>
    <w:p>
      <w:pPr>
        <w:pStyle w:val="Heading2"/>
        <w:spacing w:after="120" w:before="260"/>
      </w:pPr>
      <w:r>
        <w:rPr>
          <w:rFonts w:ascii="Calibri" w:cs="Calibri" w:eastAsia="Calibri" w:hAnsi="Calibri"/>
          <w:b/>
          <w:bCs/>
          <w:color w:val="1B6B3D"/>
          <w:sz w:val="30"/>
          <w:szCs w:val="30"/>
        </w:rPr>
        <w:t xml:space="preserve">6.2  Taxonomy colour codes</w:t>
      </w:r>
    </w:p>
    <w:p>
      <w:pPr>
        <w:spacing w:after="120"/>
      </w:pPr>
      <w:r>
        <w:rPr>
          <w:rFonts w:ascii="Calibri" w:cs="Calibri" w:eastAsia="Calibri" w:hAnsi="Calibri"/>
          <w:sz w:val="22"/>
          <w:szCs w:val="22"/>
        </w:rPr>
        <w:t xml:space="preserve">Every loan in the portfolio is assigned one of four taxonomy colours. The (i) tooltip on each colour in the dashboard explains the classification rule for that colour in the context of the borrower's sector and the use of proceeds. The summary is:</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1800"/>
        <w:gridCol w:w="7560"/>
      </w:tblGrid>
      <w:tr>
        <w:trPr>
          <w:tblHeader/>
        </w:trPr>
        <w:tc>
          <w:tcPr>
            <w:tcW w:type="dxa" w:w="18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Colour</w:t>
            </w:r>
          </w:p>
        </w:tc>
        <w:tc>
          <w:tcPr>
            <w:tcW w:type="dxa" w:w="75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Meaning under NRB GFT (Oct 2024)</w:t>
            </w:r>
          </w:p>
        </w:tc>
      </w:tr>
      <w:tr>
        <w:tc>
          <w:tcPr>
            <w:tcW w:type="dxa" w:w="1800"/>
            <w:tcMar>
              <w:top w:type="dxa" w:w="80"/>
              <w:left w:type="dxa" w:w="100"/>
              <w:bottom w:type="dxa" w:w="80"/>
              <w:right w:type="dxa" w:w="100"/>
            </w:tcMar>
          </w:tcPr>
          <w:p>
            <w:pPr>
              <w:spacing w:after="0"/>
            </w:pPr>
            <w:r>
              <w:rPr>
                <w:rFonts w:ascii="Calibri" w:cs="Calibri" w:eastAsia="Calibri" w:hAnsi="Calibri"/>
                <w:b/>
                <w:bCs/>
                <w:color w:val="16A34A"/>
                <w:sz w:val="22"/>
                <w:szCs w:val="22"/>
              </w:rPr>
              <w:t xml:space="preserve">Green (Transformative)</w:t>
            </w:r>
          </w:p>
        </w:tc>
        <w:tc>
          <w:tcPr>
            <w:tcW w:type="dxa" w:w="7560"/>
            <w:tcMar>
              <w:top w:type="dxa" w:w="80"/>
              <w:left w:type="dxa" w:w="100"/>
              <w:bottom w:type="dxa" w:w="80"/>
              <w:right w:type="dxa" w:w="100"/>
            </w:tcMar>
          </w:tcPr>
          <w:p>
            <w:pPr>
              <w:spacing w:after="0"/>
            </w:pPr>
            <w:r>
              <w:rPr>
                <w:rFonts w:ascii="Calibri" w:cs="Calibri" w:eastAsia="Calibri" w:hAnsi="Calibri"/>
                <w:sz w:val="22"/>
                <w:szCs w:val="22"/>
              </w:rPr>
              <w:t xml:space="preserve">Use of proceeds is explicitly listed in the NRB green taxonomy and passes the activity-specific technical thresholds. Examples: hydropower that meets the run-of-river, power-density, or lifecycle GHG gates; solar utility-scale generation; energy efficiency retrofits in commercial buildings.</w:t>
            </w:r>
          </w:p>
        </w:tc>
      </w:tr>
      <w:tr>
        <w:tc>
          <w:tcPr>
            <w:tcW w:type="dxa" w:w="18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Amber (Transitional)</w:t>
            </w:r>
          </w:p>
        </w:tc>
        <w:tc>
          <w:tcPr>
            <w:tcW w:type="dxa" w:w="7560"/>
            <w:tcMar>
              <w:top w:type="dxa" w:w="80"/>
              <w:left w:type="dxa" w:w="100"/>
              <w:bottom w:type="dxa" w:w="80"/>
              <w:right w:type="dxa" w:w="100"/>
            </w:tcMar>
          </w:tcPr>
          <w:p>
            <w:pPr>
              <w:spacing w:after="0"/>
            </w:pPr>
            <w:r>
              <w:rPr>
                <w:rFonts w:ascii="Calibri" w:cs="Calibri" w:eastAsia="Calibri" w:hAnsi="Calibri"/>
                <w:sz w:val="22"/>
                <w:szCs w:val="22"/>
              </w:rPr>
              <w:t xml:space="preserve">The borrower's primary sector is on a credible decarbonisation pathway but is not currently green. Example: cement plants investing in waste heat recovery or alternative fuels (dry-kiln plus clinker substitution).</w:t>
            </w:r>
          </w:p>
        </w:tc>
      </w:tr>
      <w:tr>
        <w:tc>
          <w:tcPr>
            <w:tcW w:type="dxa" w:w="1800"/>
            <w:tcMar>
              <w:top w:type="dxa" w:w="80"/>
              <w:left w:type="dxa" w:w="100"/>
              <w:bottom w:type="dxa" w:w="80"/>
              <w:right w:type="dxa" w:w="100"/>
            </w:tcMar>
          </w:tcPr>
          <w:p>
            <w:pPr>
              <w:spacing w:after="0"/>
            </w:pPr>
            <w:r>
              <w:rPr>
                <w:rFonts w:ascii="Calibri" w:cs="Calibri" w:eastAsia="Calibri" w:hAnsi="Calibri"/>
                <w:b/>
                <w:bCs/>
                <w:color w:val="DC2626"/>
                <w:sz w:val="22"/>
                <w:szCs w:val="22"/>
              </w:rPr>
              <w:t xml:space="preserve">Red (Not aligned)</w:t>
            </w:r>
          </w:p>
        </w:tc>
        <w:tc>
          <w:tcPr>
            <w:tcW w:type="dxa" w:w="7560"/>
            <w:tcMar>
              <w:top w:type="dxa" w:w="80"/>
              <w:left w:type="dxa" w:w="100"/>
              <w:bottom w:type="dxa" w:w="80"/>
              <w:right w:type="dxa" w:w="100"/>
            </w:tcMar>
          </w:tcPr>
          <w:p>
            <w:pPr>
              <w:spacing w:after="0"/>
            </w:pPr>
            <w:r>
              <w:rPr>
                <w:rFonts w:ascii="Calibri" w:cs="Calibri" w:eastAsia="Calibri" w:hAnsi="Calibri"/>
                <w:sz w:val="22"/>
                <w:szCs w:val="22"/>
              </w:rPr>
              <w:t xml:space="preserve">Use of proceeds is explicitly excluded by the NRB taxonomy, or the activity fails a red-bullet criterion. Examples: new coal-fired generation; hydropower in a protected area, biodiversity hotspot, or disaster-prone zone; loans associated with deforestation in protected areas.</w:t>
            </w:r>
          </w:p>
        </w:tc>
      </w:tr>
      <w:tr>
        <w:tc>
          <w:tcPr>
            <w:tcW w:type="dxa" w:w="1800"/>
            <w:tcMar>
              <w:top w:type="dxa" w:w="80"/>
              <w:left w:type="dxa" w:w="100"/>
              <w:bottom w:type="dxa" w:w="80"/>
              <w:right w:type="dxa" w:w="100"/>
            </w:tcMar>
          </w:tcPr>
          <w:p>
            <w:pPr>
              <w:spacing w:after="0"/>
            </w:pPr>
            <w:r>
              <w:rPr>
                <w:rFonts w:ascii="Calibri" w:cs="Calibri" w:eastAsia="Calibri" w:hAnsi="Calibri"/>
                <w:b/>
                <w:bCs/>
                <w:color w:val="64748B"/>
                <w:sz w:val="22"/>
                <w:szCs w:val="22"/>
              </w:rPr>
              <w:t xml:space="preserve">Unclassified</w:t>
            </w:r>
          </w:p>
        </w:tc>
        <w:tc>
          <w:tcPr>
            <w:tcW w:type="dxa" w:w="7560"/>
            <w:tcMar>
              <w:top w:type="dxa" w:w="80"/>
              <w:left w:type="dxa" w:w="100"/>
              <w:bottom w:type="dxa" w:w="80"/>
              <w:right w:type="dxa" w:w="100"/>
            </w:tcMar>
          </w:tcPr>
          <w:p>
            <w:pPr>
              <w:spacing w:after="0"/>
            </w:pPr>
            <w:r>
              <w:rPr>
                <w:rFonts w:ascii="Calibri" w:cs="Calibri" w:eastAsia="Calibri" w:hAnsi="Calibri"/>
                <w:sz w:val="22"/>
                <w:szCs w:val="22"/>
              </w:rPr>
              <w:t xml:space="preserve">Use of proceeds is unclear or the borrower's documentation does not yet support classification. Unclassified loans should be reviewed during the next renewal.</w:t>
            </w:r>
          </w:p>
        </w:tc>
      </w:tr>
    </w:tbl>
    <w:p>
      <w:pPr>
        <w:spacing w:after="12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B6B3D"/>
          <w:sz w:val="30"/>
          <w:szCs w:val="30"/>
        </w:rPr>
        <w:t xml:space="preserve">6.3  Distribution by count and value</w:t>
      </w:r>
    </w:p>
    <w:p>
      <w:pPr>
        <w:spacing w:after="120"/>
      </w:pPr>
      <w:r>
        <w:rPr>
          <w:rFonts w:ascii="Calibri" w:cs="Calibri" w:eastAsia="Calibri" w:hAnsi="Calibri"/>
          <w:sz w:val="22"/>
          <w:szCs w:val="22"/>
        </w:rPr>
        <w:t xml:space="preserve">The taxonomy summary cards report the portfolio split by both loan count and outstanding NPR balance. The two views can differ materially: a portfolio with many small green retail mortgages may look greener by count than by NPR balance. Both numbers are presented so that disclosure can use whichever view is required.</w:t>
      </w:r>
    </w:p>
    <w:p>
      <w:pPr>
        <w:pStyle w:val="Heading2"/>
        <w:spacing w:after="120" w:before="260"/>
      </w:pPr>
      <w:r>
        <w:rPr>
          <w:rFonts w:ascii="Calibri" w:cs="Calibri" w:eastAsia="Calibri" w:hAnsi="Calibri"/>
          <w:b/>
          <w:bCs/>
          <w:color w:val="1B6B3D"/>
          <w:sz w:val="30"/>
          <w:szCs w:val="30"/>
        </w:rPr>
        <w:t xml:space="preserve">6.4  Sector view</w:t>
      </w:r>
    </w:p>
    <w:p>
      <w:pPr>
        <w:spacing w:after="120"/>
      </w:pPr>
      <w:r>
        <w:rPr>
          <w:rFonts w:ascii="Calibri" w:cs="Calibri" w:eastAsia="Calibri" w:hAnsi="Calibri"/>
          <w:sz w:val="22"/>
          <w:szCs w:val="22"/>
        </w:rPr>
        <w:t xml:space="preserve">Below the headline cards the dashboard breaks down each NRB sector by taxonomy colour. This view is the operating tool for the green finance team when they are deciding which sectors to prioritise for taxonomy-aligned origination. The (i) tooltips on individual cells explain why a given loan landed in the colour it did, so the green finance team can address misclassifications directly with the originating branch.</w:t>
      </w:r>
    </w:p>
    <w:p>
      <w:pPr>
        <w:pStyle w:val="Heading2"/>
        <w:spacing w:after="120" w:before="260"/>
      </w:pPr>
      <w:r>
        <w:rPr>
          <w:rFonts w:ascii="Calibri" w:cs="Calibri" w:eastAsia="Calibri" w:hAnsi="Calibri"/>
          <w:b/>
          <w:bCs/>
          <w:color w:val="1B6B3D"/>
          <w:sz w:val="30"/>
          <w:szCs w:val="30"/>
        </w:rPr>
        <w:t xml:space="preserve">6.5  Taxonomy wizard (per loan)</w:t>
      </w:r>
    </w:p>
    <w:p>
      <w:pPr>
        <w:spacing w:after="120"/>
      </w:pPr>
      <w:r>
        <w:rPr>
          <w:rFonts w:ascii="Calibri" w:cs="Calibri" w:eastAsia="Calibri" w:hAnsi="Calibri"/>
          <w:sz w:val="22"/>
          <w:szCs w:val="22"/>
        </w:rPr>
        <w:t xml:space="preserve">Selecting a loan opens the classification wizard at /taxonomy/[loanId]. The wizard has four steps:</w:t>
      </w:r>
    </w:p>
    <w:p>
      <w:pPr>
        <w:pStyle w:val="ListParagraph"/>
        <w:numPr>
          <w:ilvl w:val="0"/>
          <w:numId w:val="2"/>
        </w:numPr>
        <w:spacing w:after="80"/>
      </w:pPr>
      <w:r>
        <w:rPr>
          <w:rFonts w:ascii="Calibri" w:cs="Calibri" w:eastAsia="Calibri" w:hAnsi="Calibri"/>
          <w:b/>
          <w:bCs/>
          <w:sz w:val="22"/>
          <w:szCs w:val="22"/>
        </w:rPr>
        <w:t xml:space="preserve">Step 1  Basics: </w:t>
      </w:r>
      <w:r>
        <w:rPr>
          <w:rFonts w:ascii="Calibri" w:cs="Calibri" w:eastAsia="Calibri" w:hAnsi="Calibri"/>
          <w:sz w:val="22"/>
          <w:szCs w:val="22"/>
        </w:rPr>
        <w:t xml:space="preserve">loan and borrower information (prefilled from the loan record).</w:t>
      </w:r>
    </w:p>
    <w:p>
      <w:pPr>
        <w:pStyle w:val="ListParagraph"/>
        <w:numPr>
          <w:ilvl w:val="0"/>
          <w:numId w:val="2"/>
        </w:numPr>
        <w:spacing w:after="80"/>
      </w:pPr>
      <w:r>
        <w:rPr>
          <w:rFonts w:ascii="Calibri" w:cs="Calibri" w:eastAsia="Calibri" w:hAnsi="Calibri"/>
          <w:b/>
          <w:bCs/>
          <w:sz w:val="22"/>
          <w:szCs w:val="22"/>
        </w:rPr>
        <w:t xml:space="preserve">Step 2  Activity picker: </w:t>
      </w:r>
      <w:r>
        <w:rPr>
          <w:rFonts w:ascii="Calibri" w:cs="Calibri" w:eastAsia="Calibri" w:hAnsi="Calibri"/>
          <w:sz w:val="22"/>
          <w:szCs w:val="22"/>
        </w:rPr>
        <w:t xml:space="preserve">choose the taxonomy activity that best matches the use of proceeds. The dashboard encodes the activities NRB spells out in the October 2024 taxonomy across the seventeen SIS sectors: hydroelectricity, wind, solar utility, cement transitional, green buildings, organic agriculture, dairy and animal husbandry, poultry, aquaculture, food processing, textiles and garments, personal EV, commercial EV / mass transit, fossil-fuel generation (red-listed), high-efficiency irrigation, waste management, hotels and tourism, residential home loan, and green financial intermediation. Sector-suggested activities appear first; the full list is available below.</w:t>
      </w:r>
    </w:p>
    <w:p>
      <w:pPr>
        <w:pStyle w:val="ListParagraph"/>
        <w:numPr>
          <w:ilvl w:val="0"/>
          <w:numId w:val="2"/>
        </w:numPr>
        <w:spacing w:after="80"/>
      </w:pPr>
      <w:r>
        <w:rPr>
          <w:rFonts w:ascii="Calibri" w:cs="Calibri" w:eastAsia="Calibri" w:hAnsi="Calibri"/>
          <w:b/>
          <w:bCs/>
          <w:sz w:val="22"/>
          <w:szCs w:val="22"/>
        </w:rPr>
        <w:t xml:space="preserve">Step 3  DNSH and criteria: </w:t>
      </w:r>
      <w:r>
        <w:rPr>
          <w:rFonts w:ascii="Calibri" w:cs="Calibri" w:eastAsia="Calibri" w:hAnsi="Calibri"/>
          <w:sz w:val="22"/>
          <w:szCs w:val="22"/>
        </w:rPr>
        <w:t xml:space="preserve">answer the activity's technical criteria (capacity, efficiency, permits) and the Do No Significant Harm (DNSH) checks that apply (environmental flow, resettlement discharge, biodiversity offset, seismic assessment, and so on).</w:t>
      </w:r>
    </w:p>
    <w:p>
      <w:pPr>
        <w:pStyle w:val="ListParagraph"/>
        <w:numPr>
          <w:ilvl w:val="0"/>
          <w:numId w:val="2"/>
        </w:numPr>
        <w:spacing w:after="80"/>
      </w:pPr>
      <w:r>
        <w:rPr>
          <w:rFonts w:ascii="Calibri" w:cs="Calibri" w:eastAsia="Calibri" w:hAnsi="Calibri"/>
          <w:b/>
          <w:bCs/>
          <w:sz w:val="22"/>
          <w:szCs w:val="22"/>
        </w:rPr>
        <w:t xml:space="preserve">Step 4  Review and save: </w:t>
      </w:r>
      <w:r>
        <w:rPr>
          <w:rFonts w:ascii="Calibri" w:cs="Calibri" w:eastAsia="Calibri" w:hAnsi="Calibri"/>
          <w:sz w:val="22"/>
          <w:szCs w:val="22"/>
        </w:rPr>
        <w:t xml:space="preserve">the wizard runs the classifier, shows the resulting colour with a written rationale and a page-anchored NRB citation, and lists any DNSH failures. Saving commits the classification as the loan's current taxonomy record.</w:t>
      </w:r>
    </w:p>
    <w:p>
      <w:pPr>
        <w:spacing w:after="120"/>
      </w:pPr>
      <w:r>
        <w:rPr>
          <w:rFonts w:ascii="Calibri" w:cs="Calibri" w:eastAsia="Calibri" w:hAnsi="Calibri"/>
          <w:sz w:val="22"/>
          <w:szCs w:val="22"/>
        </w:rPr>
        <w:t xml:space="preserve">As with every wizard on the platform, taxonomy runs read-only when the current officer is not the loan's owner (Part 4.6). The saved classification feeds both the Taxonomy tab distribution and the NRBSIS Annex 4b export on the NFRS tab.</w:t>
      </w:r>
    </w:p>
    <w:p>
      <w:r>
        <w:br w:type="page"/>
      </w:r>
    </w:p>
    <w:p>
      <w:pPr>
        <w:pStyle w:val="Heading1"/>
        <w:spacing w:after="160" w:before="320"/>
      </w:pPr>
      <w:r>
        <w:rPr>
          <w:rFonts w:ascii="Calibri" w:cs="Calibri" w:eastAsia="Calibri" w:hAnsi="Calibri"/>
          <w:b/>
          <w:bCs/>
          <w:color w:val="0F5132"/>
          <w:sz w:val="40"/>
          <w:szCs w:val="40"/>
        </w:rPr>
        <w:t xml:space="preserve">Part 7  |  Project Finance screening wizard</w:t>
      </w:r>
    </w:p>
    <w:p>
      <w:pPr>
        <w:pStyle w:val="Heading2"/>
        <w:spacing w:after="120" w:before="260"/>
      </w:pPr>
      <w:r>
        <w:rPr>
          <w:rFonts w:ascii="Calibri" w:cs="Calibri" w:eastAsia="Calibri" w:hAnsi="Calibri"/>
          <w:b/>
          <w:bCs/>
          <w:color w:val="1B6B3D"/>
          <w:sz w:val="30"/>
          <w:szCs w:val="30"/>
        </w:rPr>
        <w:t xml:space="preserve">7.1  When it applies</w:t>
      </w:r>
    </w:p>
    <w:p>
      <w:pPr>
        <w:spacing w:after="120"/>
      </w:pPr>
      <w:r>
        <w:rPr>
          <w:rFonts w:ascii="Calibri" w:cs="Calibri" w:eastAsia="Calibri" w:hAnsi="Calibri"/>
          <w:sz w:val="22"/>
          <w:szCs w:val="22"/>
        </w:rPr>
        <w:t xml:space="preserve">The PF screening wizard applies only to loans in the Project Finance category. It is shown as a CTA on My Work loan cards and as a workbench sub-tab only when the loan is a project-finance transaction; otherwise it is hidden.</w:t>
      </w:r>
    </w:p>
    <w:p>
      <w:pPr>
        <w:spacing w:after="120"/>
      </w:pPr>
      <w:r>
        <w:rPr>
          <w:rFonts w:ascii="Calibri" w:cs="Calibri" w:eastAsia="Calibri" w:hAnsi="Calibri"/>
          <w:sz w:val="22"/>
          <w:szCs w:val="22"/>
        </w:rPr>
        <w:t xml:space="preserve">The wizard implements the NRB Circular 22 Annex 5b Project Finance Screening Questionnaire, which is aligned with the eight IFC Performance Standards on Environmental and Social Sustainability (2012). It captures 148 items across the eight standards, plus the aggregate risk classification.</w:t>
      </w:r>
    </w:p>
    <w:p>
      <w:pPr>
        <w:pStyle w:val="Heading2"/>
        <w:spacing w:after="120" w:before="260"/>
      </w:pPr>
      <w:r>
        <w:rPr>
          <w:rFonts w:ascii="Calibri" w:cs="Calibri" w:eastAsia="Calibri" w:hAnsi="Calibri"/>
          <w:b/>
          <w:bCs/>
          <w:color w:val="1B6B3D"/>
          <w:sz w:val="30"/>
          <w:szCs w:val="30"/>
        </w:rPr>
        <w:t xml:space="preserve">7.2  The eight Performance Standards</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600"/>
        <w:gridCol w:w="6760"/>
      </w:tblGrid>
      <w:tr>
        <w:trPr>
          <w:tblHeader/>
        </w:trPr>
        <w:tc>
          <w:tcPr>
            <w:tcW w:type="dxa" w:w="26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Performance Standard</w:t>
            </w:r>
          </w:p>
        </w:tc>
        <w:tc>
          <w:tcPr>
            <w:tcW w:type="dxa" w:w="67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Coverage</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PS1  Assessment and Management of E&amp;S Risks and Impacts</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Sponsor's E&amp;S policy, management system, impact assessment scope, stakeholder engagement, grievance mechanism, and monitoring.</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PS2  Labour and Working Conditions</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HR policy, working conditions, freedom of association, non-discrimination, child and forced labour, worker OHS, and contracted workers. Contains termination-grade triggers for child labour and forced labour.</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PS3  Resource Efficiency and Pollution Prevention</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Resource efficiency, GHG emissions, water use, waste, hazardous materials, and pesticides.</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PS4  Community Health, Safety and Security</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Design safety, hazardous materials near communities, ecosystem services, community exposure, disaster prevention, and security personnel.</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PS5  Land Acquisition and Involuntary Resettlement</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Physical and economic displacement, compensation, livelihood restoration, and consultation with affected people.</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PS6  Biodiversity Conservation and Sustainable Management of Living Natural Resources</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Modified, natural, and critical habitat; protected areas; invasive species; primary production; and supply-chain risk.</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PS7  Indigenous Peoples</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Identification of Indigenous Peoples, Free Prior and Informed Consent circumstances, impacts on lands and natural resources, and cultural heritage.</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PS8  Cultural Heritage</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Tangible and intangible cultural heritage protection, use of cultural heritage, chance-find procedures, and consultation with affected communities.</w:t>
            </w:r>
          </w:p>
        </w:tc>
      </w:tr>
    </w:tbl>
    <w:p>
      <w:pPr>
        <w:spacing w:after="12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B6B3D"/>
          <w:sz w:val="30"/>
          <w:szCs w:val="30"/>
        </w:rPr>
        <w:t xml:space="preserve">7.3  Structure</w:t>
      </w:r>
    </w:p>
    <w:p>
      <w:pPr>
        <w:spacing w:after="120"/>
      </w:pPr>
      <w:r>
        <w:rPr>
          <w:rFonts w:ascii="Calibri" w:cs="Calibri" w:eastAsia="Calibri" w:hAnsi="Calibri"/>
          <w:sz w:val="22"/>
          <w:szCs w:val="22"/>
        </w:rPr>
        <w:t xml:space="preserve">The wizard has nine steps: one step per Performance Standard (PS1 through PS8), plus a Review step. Each item is answered on a four-option scale similar to the ESDD wizard, with an accompanying Remarks textarea and evidence attachments panel.</w:t>
      </w:r>
    </w:p>
    <w:p>
      <w:pPr>
        <w:spacing w:after="120"/>
      </w:pPr>
      <w:r>
        <w:rPr>
          <w:rFonts w:ascii="Calibri" w:cs="Calibri" w:eastAsia="Calibri" w:hAnsi="Calibri"/>
          <w:sz w:val="22"/>
          <w:szCs w:val="22"/>
        </w:rPr>
        <w:t xml:space="preserve">Certain items carry IFC PS termination-grade triggers, sourced from the Performance Standards themselves. A trigger that fires does not automatically decline the loan; it flags the item so the manager and credit committee can review the specific paragraph of the underlying Performance Standard cited on the item.</w:t>
      </w:r>
    </w:p>
    <w:p>
      <w:pPr>
        <w:pStyle w:val="Heading2"/>
        <w:spacing w:after="120" w:before="260"/>
      </w:pPr>
      <w:r>
        <w:rPr>
          <w:rFonts w:ascii="Calibri" w:cs="Calibri" w:eastAsia="Calibri" w:hAnsi="Calibri"/>
          <w:b/>
          <w:bCs/>
          <w:color w:val="1B6B3D"/>
          <w:sz w:val="30"/>
          <w:szCs w:val="30"/>
        </w:rPr>
        <w:t xml:space="preserve">7.4  Review and saved screening</w:t>
      </w:r>
    </w:p>
    <w:p>
      <w:pPr>
        <w:spacing w:after="120"/>
      </w:pPr>
      <w:r>
        <w:rPr>
          <w:rFonts w:ascii="Calibri" w:cs="Calibri" w:eastAsia="Calibri" w:hAnsi="Calibri"/>
          <w:sz w:val="22"/>
          <w:szCs w:val="22"/>
        </w:rPr>
        <w:t xml:space="preserve">The Review step surfaces:</w:t>
      </w:r>
    </w:p>
    <w:p>
      <w:pPr>
        <w:pStyle w:val="ListParagraph"/>
        <w:numPr>
          <w:ilvl w:val="0"/>
          <w:numId w:val="2"/>
        </w:numPr>
        <w:spacing w:after="80"/>
      </w:pPr>
      <w:r>
        <w:rPr>
          <w:rFonts w:ascii="Calibri" w:cs="Calibri" w:eastAsia="Calibri" w:hAnsi="Calibri"/>
          <w:sz w:val="22"/>
          <w:szCs w:val="22"/>
        </w:rPr>
        <w:t xml:space="preserve">Per-PS breakdown: how many items were answered, and how many triggered flags.</w:t>
      </w:r>
    </w:p>
    <w:p>
      <w:pPr>
        <w:pStyle w:val="ListParagraph"/>
        <w:numPr>
          <w:ilvl w:val="0"/>
          <w:numId w:val="2"/>
        </w:numPr>
        <w:spacing w:after="80"/>
      </w:pPr>
      <w:r>
        <w:rPr>
          <w:rFonts w:ascii="Calibri" w:cs="Calibri" w:eastAsia="Calibri" w:hAnsi="Calibri"/>
          <w:sz w:val="22"/>
          <w:szCs w:val="22"/>
        </w:rPr>
        <w:t xml:space="preserve">Aggregate flag count across all eight standards.</w:t>
      </w:r>
    </w:p>
    <w:p>
      <w:pPr>
        <w:pStyle w:val="ListParagraph"/>
        <w:numPr>
          <w:ilvl w:val="0"/>
          <w:numId w:val="2"/>
        </w:numPr>
        <w:spacing w:after="80"/>
      </w:pPr>
      <w:r>
        <w:rPr>
          <w:rFonts w:ascii="Calibri" w:cs="Calibri" w:eastAsia="Calibri" w:hAnsi="Calibri"/>
          <w:sz w:val="22"/>
          <w:szCs w:val="22"/>
        </w:rPr>
        <w:t xml:space="preserve">Computed PF risk classification (Low, Medium, High, Critical).</w:t>
      </w:r>
    </w:p>
    <w:p>
      <w:pPr>
        <w:pStyle w:val="ListParagraph"/>
        <w:numPr>
          <w:ilvl w:val="0"/>
          <w:numId w:val="2"/>
        </w:numPr>
        <w:spacing w:after="80"/>
      </w:pPr>
      <w:r>
        <w:rPr>
          <w:rFonts w:ascii="Calibri" w:cs="Calibri" w:eastAsia="Calibri" w:hAnsi="Calibri"/>
          <w:sz w:val="22"/>
          <w:szCs w:val="22"/>
        </w:rPr>
        <w:t xml:space="preserve">A list of every termination-trigger flag with the citation it maps to.</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Saving commits the PF screening as the loan's current record. As with the ESDD and Taxonomy wizards, PF screening runs read-only when the current officer is not the loan's owner (Part 4.6).</w:t>
      </w:r>
    </w:p>
    <w:p>
      <w:r>
        <w:br w:type="page"/>
      </w:r>
    </w:p>
    <w:p>
      <w:pPr>
        <w:pStyle w:val="Heading1"/>
        <w:spacing w:after="160" w:before="320"/>
      </w:pPr>
      <w:r>
        <w:rPr>
          <w:rFonts w:ascii="Calibri" w:cs="Calibri" w:eastAsia="Calibri" w:hAnsi="Calibri"/>
          <w:b/>
          <w:bCs/>
          <w:color w:val="0F5132"/>
          <w:sz w:val="40"/>
          <w:szCs w:val="40"/>
        </w:rPr>
        <w:t xml:space="preserve">Part 8  |  PCAF availability wizard</w:t>
      </w:r>
    </w:p>
    <w:p>
      <w:pPr>
        <w:pStyle w:val="Heading2"/>
        <w:spacing w:after="120" w:before="260"/>
      </w:pPr>
      <w:r>
        <w:rPr>
          <w:rFonts w:ascii="Calibri" w:cs="Calibri" w:eastAsia="Calibri" w:hAnsi="Calibri"/>
          <w:b/>
          <w:bCs/>
          <w:color w:val="1B6B3D"/>
          <w:sz w:val="30"/>
          <w:szCs w:val="30"/>
        </w:rPr>
        <w:t xml:space="preserve">8.1  Purpose</w:t>
      </w:r>
    </w:p>
    <w:p>
      <w:pPr>
        <w:spacing w:after="120"/>
      </w:pPr>
      <w:r>
        <w:rPr>
          <w:rFonts w:ascii="Calibri" w:cs="Calibri" w:eastAsia="Calibri" w:hAnsi="Calibri"/>
          <w:sz w:val="22"/>
          <w:szCs w:val="22"/>
        </w:rPr>
        <w:t xml:space="preserve">PCAF (Partnership for Carbon Accounting Financials) requires every attributed emission to be reported with a Data Quality Score from 1 (best) to 5 (weakest). The PCAF availability wizard is the officer-facing surface for confirming or overriding, per borrower, the four flags that drive the PCAF Part A §5 decision tree. The result feeds the loan's Data Quality Score directly and, in aggregate, the data quality distribution shown on the NFRS tab (Part 11).</w:t>
      </w:r>
    </w:p>
    <w:p>
      <w:pPr>
        <w:spacing w:after="120"/>
      </w:pPr>
      <w:r>
        <w:rPr>
          <w:rFonts w:ascii="Calibri" w:cs="Calibri" w:eastAsia="Calibri" w:hAnsi="Calibri"/>
          <w:sz w:val="22"/>
          <w:szCs w:val="22"/>
        </w:rPr>
        <w:t xml:space="preserve">The wizard lives at /pcaf/[loanId] and is required on every loan under NFRS. It appears as a CTA on My Work loan cards and as a workbench PCAF sub-tab on the Manager tab. The Manager sub-tab is a read-only mirror of the wizard; edits are always made from the wizard itself.</w:t>
      </w:r>
    </w:p>
    <w:p>
      <w:pPr>
        <w:pStyle w:val="Heading2"/>
        <w:spacing w:after="120" w:before="260"/>
      </w:pPr>
      <w:r>
        <w:rPr>
          <w:rFonts w:ascii="Calibri" w:cs="Calibri" w:eastAsia="Calibri" w:hAnsi="Calibri"/>
          <w:b/>
          <w:bCs/>
          <w:color w:val="1B6B3D"/>
          <w:sz w:val="30"/>
          <w:szCs w:val="30"/>
        </w:rPr>
        <w:t xml:space="preserve">8.2  The four flag rows</w:t>
      </w:r>
    </w:p>
    <w:p>
      <w:pPr>
        <w:spacing w:after="120"/>
      </w:pPr>
      <w:r>
        <w:rPr>
          <w:rFonts w:ascii="Calibri" w:cs="Calibri" w:eastAsia="Calibri" w:hAnsi="Calibri"/>
          <w:sz w:val="22"/>
          <w:szCs w:val="22"/>
        </w:rPr>
        <w:t xml:space="preserve">The wizard collects four flag rows, in decreasing order of data quality. Each row pre-fills from the automatic inference (an AUTO badge is shown next to the toggle). When the officer flips a toggle the badge changes to OVERRIDE (yellow), and the flag is persisted with the officer's evidence.</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3400"/>
        <w:gridCol w:w="1000"/>
        <w:gridCol w:w="4960"/>
      </w:tblGrid>
      <w:tr>
        <w:trPr>
          <w:tblHeader/>
        </w:trPr>
        <w:tc>
          <w:tcPr>
            <w:tcW w:type="dxa" w:w="34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Flag row</w:t>
            </w:r>
          </w:p>
        </w:tc>
        <w:tc>
          <w:tcPr>
            <w:tcW w:type="dxa" w:w="10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Score</w:t>
            </w:r>
          </w:p>
        </w:tc>
        <w:tc>
          <w:tcPr>
            <w:tcW w:type="dxa" w:w="49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Meaning</w:t>
            </w:r>
          </w:p>
        </w:tc>
      </w:tr>
      <w:tr>
        <w:tc>
          <w:tcPr>
            <w:tcW w:type="dxa" w:w="3400"/>
            <w:tcMar>
              <w:top w:type="dxa" w:w="80"/>
              <w:left w:type="dxa" w:w="100"/>
              <w:bottom w:type="dxa" w:w="80"/>
              <w:right w:type="dxa" w:w="100"/>
            </w:tcMar>
          </w:tcPr>
          <w:p>
            <w:pPr>
              <w:spacing w:after="0"/>
            </w:pPr>
            <w:r>
              <w:rPr>
                <w:rFonts w:ascii="Calibri" w:cs="Calibri" w:eastAsia="Calibri" w:hAnsi="Calibri"/>
                <w:b/>
                <w:bCs/>
                <w:sz w:val="22"/>
                <w:szCs w:val="22"/>
              </w:rPr>
              <w:t xml:space="preserve">Verified reported</w:t>
            </w:r>
          </w:p>
        </w:tc>
        <w:tc>
          <w:tcPr>
            <w:tcW w:type="dxa" w:w="1000"/>
            <w:tcMar>
              <w:top w:type="dxa" w:w="80"/>
              <w:left w:type="dxa" w:w="100"/>
              <w:bottom w:type="dxa" w:w="80"/>
              <w:right w:type="dxa" w:w="100"/>
            </w:tcMar>
          </w:tcPr>
          <w:p>
            <w:pPr>
              <w:spacing w:after="0"/>
              <w:jc w:val="center"/>
            </w:pPr>
            <w:r>
              <w:rPr>
                <w:rFonts w:ascii="Calibri" w:cs="Calibri" w:eastAsia="Calibri" w:hAnsi="Calibri"/>
                <w:b/>
                <w:bCs/>
                <w:color w:val="16A34A"/>
                <w:sz w:val="22"/>
                <w:szCs w:val="22"/>
              </w:rPr>
              <w:t xml:space="preserve">1</w:t>
            </w:r>
          </w:p>
        </w:tc>
        <w:tc>
          <w:tcPr>
            <w:tcW w:type="dxa" w:w="4960"/>
            <w:tcMar>
              <w:top w:type="dxa" w:w="80"/>
              <w:left w:type="dxa" w:w="100"/>
              <w:bottom w:type="dxa" w:w="80"/>
              <w:right w:type="dxa" w:w="100"/>
            </w:tcMar>
          </w:tcPr>
          <w:p>
            <w:pPr>
              <w:spacing w:after="0"/>
            </w:pPr>
            <w:r>
              <w:rPr>
                <w:rFonts w:ascii="Calibri" w:cs="Calibri" w:eastAsia="Calibri" w:hAnsi="Calibri"/>
                <w:sz w:val="22"/>
                <w:szCs w:val="22"/>
              </w:rPr>
              <w:t xml:space="preserve">Borrower's annual report includes scope 1/2/3 emissions with a third-party assurance opinion (ISO 14064 or equivalent). Highest PCAF score achievable. PCAF Part A 3rd Edition §5.2 Option 1a.</w:t>
            </w:r>
          </w:p>
        </w:tc>
      </w:tr>
      <w:tr>
        <w:tc>
          <w:tcPr>
            <w:tcW w:type="dxa" w:w="3400"/>
            <w:tcMar>
              <w:top w:type="dxa" w:w="80"/>
              <w:left w:type="dxa" w:w="100"/>
              <w:bottom w:type="dxa" w:w="80"/>
              <w:right w:type="dxa" w:w="100"/>
            </w:tcMar>
          </w:tcPr>
          <w:p>
            <w:pPr>
              <w:spacing w:after="0"/>
            </w:pPr>
            <w:r>
              <w:rPr>
                <w:rFonts w:ascii="Calibri" w:cs="Calibri" w:eastAsia="Calibri" w:hAnsi="Calibri"/>
                <w:b/>
                <w:bCs/>
                <w:sz w:val="22"/>
                <w:szCs w:val="22"/>
              </w:rPr>
              <w:t xml:space="preserve">Unverified reported</w:t>
            </w:r>
          </w:p>
        </w:tc>
        <w:tc>
          <w:tcPr>
            <w:tcW w:type="dxa" w:w="1000"/>
            <w:tcMar>
              <w:top w:type="dxa" w:w="80"/>
              <w:left w:type="dxa" w:w="100"/>
              <w:bottom w:type="dxa" w:w="80"/>
              <w:right w:type="dxa" w:w="100"/>
            </w:tcMar>
          </w:tcPr>
          <w:p>
            <w:pPr>
              <w:spacing w:after="0"/>
              <w:jc w:val="center"/>
            </w:pPr>
            <w:r>
              <w:rPr>
                <w:rFonts w:ascii="Calibri" w:cs="Calibri" w:eastAsia="Calibri" w:hAnsi="Calibri"/>
                <w:b/>
                <w:bCs/>
                <w:color w:val="16A34A"/>
                <w:sz w:val="22"/>
                <w:szCs w:val="22"/>
              </w:rPr>
              <w:t xml:space="preserve">2</w:t>
            </w:r>
          </w:p>
        </w:tc>
        <w:tc>
          <w:tcPr>
            <w:tcW w:type="dxa" w:w="4960"/>
            <w:tcMar>
              <w:top w:type="dxa" w:w="80"/>
              <w:left w:type="dxa" w:w="100"/>
              <w:bottom w:type="dxa" w:w="80"/>
              <w:right w:type="dxa" w:w="100"/>
            </w:tcMar>
          </w:tcPr>
          <w:p>
            <w:pPr>
              <w:spacing w:after="0"/>
            </w:pPr>
            <w:r>
              <w:rPr>
                <w:rFonts w:ascii="Calibri" w:cs="Calibri" w:eastAsia="Calibri" w:hAnsi="Calibri"/>
                <w:sz w:val="22"/>
                <w:szCs w:val="22"/>
              </w:rPr>
              <w:t xml:space="preserve">Borrower's annual report includes scope 1/2/3 emissions but the figures are self-reported (no assurance statement). Common step-up for NEPSE-listed corporates. Option 1b.</w:t>
            </w:r>
          </w:p>
        </w:tc>
      </w:tr>
      <w:tr>
        <w:tc>
          <w:tcPr>
            <w:tcW w:type="dxa" w:w="3400"/>
            <w:tcMar>
              <w:top w:type="dxa" w:w="80"/>
              <w:left w:type="dxa" w:w="100"/>
              <w:bottom w:type="dxa" w:w="80"/>
              <w:right w:type="dxa" w:w="100"/>
            </w:tcMar>
          </w:tcPr>
          <w:p>
            <w:pPr>
              <w:spacing w:after="0"/>
            </w:pPr>
            <w:r>
              <w:rPr>
                <w:rFonts w:ascii="Calibri" w:cs="Calibri" w:eastAsia="Calibri" w:hAnsi="Calibri"/>
                <w:b/>
                <w:bCs/>
                <w:sz w:val="22"/>
                <w:szCs w:val="22"/>
              </w:rPr>
              <w:t xml:space="preserve">Physical activity data available</w:t>
            </w:r>
          </w:p>
        </w:tc>
        <w:tc>
          <w:tcPr>
            <w:tcW w:type="dxa" w:w="1000"/>
            <w:tcMar>
              <w:top w:type="dxa" w:w="80"/>
              <w:left w:type="dxa" w:w="100"/>
              <w:bottom w:type="dxa" w:w="80"/>
              <w:right w:type="dxa" w:w="100"/>
            </w:tcMar>
          </w:tcPr>
          <w:p>
            <w:pPr>
              <w:spacing w:after="0"/>
              <w:jc w:val="center"/>
            </w:pPr>
            <w:r>
              <w:rPr>
                <w:rFonts w:ascii="Calibri" w:cs="Calibri" w:eastAsia="Calibri" w:hAnsi="Calibri"/>
                <w:b/>
                <w:bCs/>
                <w:color w:val="F59E0B"/>
                <w:sz w:val="22"/>
                <w:szCs w:val="22"/>
              </w:rPr>
              <w:t xml:space="preserve">3</w:t>
            </w:r>
          </w:p>
        </w:tc>
        <w:tc>
          <w:tcPr>
            <w:tcW w:type="dxa" w:w="4960"/>
            <w:tcMar>
              <w:top w:type="dxa" w:w="80"/>
              <w:left w:type="dxa" w:w="100"/>
              <w:bottom w:type="dxa" w:w="80"/>
              <w:right w:type="dxa" w:w="100"/>
            </w:tcMar>
          </w:tcPr>
          <w:p>
            <w:pPr>
              <w:spacing w:after="0"/>
            </w:pPr>
            <w:r>
              <w:rPr>
                <w:rFonts w:ascii="Calibri" w:cs="Calibri" w:eastAsia="Calibri" w:hAnsi="Calibri"/>
                <w:sz w:val="22"/>
                <w:szCs w:val="22"/>
              </w:rPr>
              <w:t xml:space="preserve">Bank has the borrower's own physical output (tonnes of cement, MWh generated, MW installed) or a facility-level match via Climate TRACE / GCCT / GEM. Score 3 is the honest ceiling for most Nepal facilities today. Option 2b.</w:t>
            </w:r>
          </w:p>
        </w:tc>
      </w:tr>
      <w:tr>
        <w:tc>
          <w:tcPr>
            <w:tcW w:type="dxa" w:w="3400"/>
            <w:tcMar>
              <w:top w:type="dxa" w:w="80"/>
              <w:left w:type="dxa" w:w="100"/>
              <w:bottom w:type="dxa" w:w="80"/>
              <w:right w:type="dxa" w:w="100"/>
            </w:tcMar>
          </w:tcPr>
          <w:p>
            <w:pPr>
              <w:spacing w:after="0"/>
            </w:pPr>
            <w:r>
              <w:rPr>
                <w:rFonts w:ascii="Calibri" w:cs="Calibri" w:eastAsia="Calibri" w:hAnsi="Calibri"/>
                <w:b/>
                <w:bCs/>
                <w:sz w:val="22"/>
                <w:szCs w:val="22"/>
              </w:rPr>
              <w:t xml:space="preserve">Revenue-only knowable</w:t>
            </w:r>
          </w:p>
        </w:tc>
        <w:tc>
          <w:tcPr>
            <w:tcW w:type="dxa" w:w="1000"/>
            <w:tcMar>
              <w:top w:type="dxa" w:w="80"/>
              <w:left w:type="dxa" w:w="100"/>
              <w:bottom w:type="dxa" w:w="80"/>
              <w:right w:type="dxa" w:w="100"/>
            </w:tcMar>
          </w:tcPr>
          <w:p>
            <w:pPr>
              <w:spacing w:after="0"/>
              <w:jc w:val="center"/>
            </w:pPr>
            <w:r>
              <w:rPr>
                <w:rFonts w:ascii="Calibri" w:cs="Calibri" w:eastAsia="Calibri" w:hAnsi="Calibri"/>
                <w:b/>
                <w:bCs/>
                <w:color w:val="F59E0B"/>
                <w:sz w:val="22"/>
                <w:szCs w:val="22"/>
              </w:rPr>
              <w:t xml:space="preserve">4</w:t>
            </w:r>
          </w:p>
        </w:tc>
        <w:tc>
          <w:tcPr>
            <w:tcW w:type="dxa" w:w="4960"/>
            <w:tcMar>
              <w:top w:type="dxa" w:w="80"/>
              <w:left w:type="dxa" w:w="100"/>
              <w:bottom w:type="dxa" w:w="80"/>
              <w:right w:type="dxa" w:w="100"/>
            </w:tcMar>
          </w:tcPr>
          <w:p>
            <w:pPr>
              <w:spacing w:after="0"/>
            </w:pPr>
            <w:r>
              <w:rPr>
                <w:rFonts w:ascii="Calibri" w:cs="Calibri" w:eastAsia="Calibri" w:hAnsi="Calibri"/>
                <w:sz w:val="22"/>
                <w:szCs w:val="22"/>
              </w:rPr>
              <w:t xml:space="preserve">Borrower is publicly-listed or otherwise publishes revenue that can be multiplied by a sector-average emission factor per unit of revenue. Option 3a.</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PCAF Score 5 row (Revenue-only using sector averages) is not exposed as a toggle: PCAF requires it as the always-available fallback, so it is always on. The physical activity data row is the most common outcome for Nepal borrowers; Score 3 is the honest ceiling most facilities can reach without direct borrower emissions reporting.</w:t>
      </w:r>
    </w:p>
    <w:p>
      <w:pPr>
        <w:pStyle w:val="Heading2"/>
        <w:spacing w:after="120" w:before="260"/>
      </w:pPr>
      <w:r>
        <w:rPr>
          <w:rFonts w:ascii="Calibri" w:cs="Calibri" w:eastAsia="Calibri" w:hAnsi="Calibri"/>
          <w:b/>
          <w:bCs/>
          <w:color w:val="1B6B3D"/>
          <w:sz w:val="30"/>
          <w:szCs w:val="30"/>
        </w:rPr>
        <w:t xml:space="preserve">8.3  Evidence per flag</w:t>
      </w:r>
    </w:p>
    <w:p>
      <w:pPr>
        <w:spacing w:after="120"/>
      </w:pPr>
      <w:r>
        <w:rPr>
          <w:rFonts w:ascii="Calibri" w:cs="Calibri" w:eastAsia="Calibri" w:hAnsi="Calibri"/>
          <w:sz w:val="22"/>
          <w:szCs w:val="22"/>
        </w:rPr>
        <w:t xml:space="preserve">Each flag row has its own evidence textarea plus an Attachments panel that accepts source PDFs, screenshots of borrower reports, or Excel files of Climate TRACE / GCCT lookups. What the officer writes here is what an auditor asks for immediately after the Score, so the wizard makes it easy to attach the specific document that supports the flag.</w:t>
      </w:r>
    </w:p>
    <w:p>
      <w:pPr>
        <w:pStyle w:val="Heading2"/>
        <w:spacing w:after="120" w:before="260"/>
      </w:pPr>
      <w:r>
        <w:rPr>
          <w:rFonts w:ascii="Calibri" w:cs="Calibri" w:eastAsia="Calibri" w:hAnsi="Calibri"/>
          <w:b/>
          <w:bCs/>
          <w:color w:val="1B6B3D"/>
          <w:sz w:val="30"/>
          <w:szCs w:val="30"/>
        </w:rPr>
        <w:t xml:space="preserve">8.4  Save and computed score</w:t>
      </w:r>
    </w:p>
    <w:p>
      <w:pPr>
        <w:spacing w:after="120"/>
      </w:pPr>
      <w:r>
        <w:rPr>
          <w:rFonts w:ascii="Calibri" w:cs="Calibri" w:eastAsia="Calibri" w:hAnsi="Calibri"/>
          <w:sz w:val="22"/>
          <w:szCs w:val="22"/>
        </w:rPr>
        <w:t xml:space="preserve">Saving the wizard writes the flag bundle and evidence to the borrower record and returns the computed PCAF Score with a citation into the specific PCAF §5 paragraph the flag choice mapped to. The Manager workbench PCAF panel and the NFRS tab data quality distribution refresh from the new value without a page reload.</w:t>
      </w:r>
    </w:p>
    <w:p>
      <w:pPr>
        <w:spacing w:after="120"/>
      </w:pPr>
      <w:r>
        <w:rPr>
          <w:rFonts w:ascii="Calibri" w:cs="Calibri" w:eastAsia="Calibri" w:hAnsi="Calibri"/>
          <w:sz w:val="22"/>
          <w:szCs w:val="22"/>
        </w:rPr>
        <w:t xml:space="preserve">As with every wizard on the platform, the PCAF wizard renders read-only when the current officer is not the loan's owner (Part 4.6).</w:t>
      </w:r>
    </w:p>
    <w:p>
      <w:r>
        <w:br w:type="page"/>
      </w:r>
    </w:p>
    <w:p>
      <w:pPr>
        <w:pStyle w:val="Heading1"/>
        <w:spacing w:after="160" w:before="320"/>
      </w:pPr>
      <w:r>
        <w:rPr>
          <w:rFonts w:ascii="Calibri" w:cs="Calibri" w:eastAsia="Calibri" w:hAnsi="Calibri"/>
          <w:b/>
          <w:bCs/>
          <w:color w:val="0F5132"/>
          <w:sz w:val="40"/>
          <w:szCs w:val="40"/>
        </w:rPr>
        <w:t xml:space="preserve">Part 9  |  CAP, Covenants, and Monitoring</w:t>
      </w:r>
    </w:p>
    <w:p>
      <w:pPr>
        <w:pStyle w:val="Heading2"/>
        <w:spacing w:after="120" w:before="260"/>
      </w:pPr>
      <w:r>
        <w:rPr>
          <w:rFonts w:ascii="Calibri" w:cs="Calibri" w:eastAsia="Calibri" w:hAnsi="Calibri"/>
          <w:b/>
          <w:bCs/>
          <w:color w:val="1B6B3D"/>
          <w:sz w:val="30"/>
          <w:szCs w:val="30"/>
        </w:rPr>
        <w:t xml:space="preserve">9.1  Purpose and regulatory context</w:t>
      </w:r>
    </w:p>
    <w:p>
      <w:pPr>
        <w:spacing w:after="120"/>
      </w:pPr>
      <w:r>
        <w:rPr>
          <w:rFonts w:ascii="Calibri" w:cs="Calibri" w:eastAsia="Calibri" w:hAnsi="Calibri"/>
          <w:sz w:val="22"/>
          <w:szCs w:val="22"/>
        </w:rPr>
        <w:t xml:space="preserve">NRB Circular 22 §7.3.5 requires a time-bound Corrective Action Plan (CAP) plus E&amp;S covenants (Annex 8 and Annex 9) for every loan rated Medium or High. §7.3.7 requires periodic monitoring using the Annex 10 checklist. The CAP + Covenants sub-tab on the Manager workbench is the officer-facing capture surface for all three.</w:t>
      </w:r>
    </w:p>
    <w:p>
      <w:pPr>
        <w:spacing w:after="120"/>
      </w:pPr>
      <w:r>
        <w:rPr>
          <w:rFonts w:ascii="Calibri" w:cs="Calibri" w:eastAsia="Calibri" w:hAnsi="Calibri"/>
          <w:sz w:val="22"/>
          <w:szCs w:val="22"/>
        </w:rPr>
        <w:t xml:space="preserve">The sub-tab is hidden for Low-risk loans, because Circular 22 does not require a CAP or covenants for them. It also bails out to a "not required" note if the API says the same, as a defence-in-depth check.</w:t>
      </w:r>
    </w:p>
    <w:p>
      <w:pPr>
        <w:pStyle w:val="Heading2"/>
        <w:spacing w:after="120" w:before="260"/>
      </w:pPr>
      <w:r>
        <w:rPr>
          <w:rFonts w:ascii="Calibri" w:cs="Calibri" w:eastAsia="Calibri" w:hAnsi="Calibri"/>
          <w:b/>
          <w:bCs/>
          <w:color w:val="1B6B3D"/>
          <w:sz w:val="30"/>
          <w:szCs w:val="30"/>
        </w:rPr>
        <w:t xml:space="preserve">9.2  Corrective Action Plan items</w:t>
      </w:r>
    </w:p>
    <w:p>
      <w:pPr>
        <w:spacing w:after="120"/>
      </w:pPr>
      <w:r>
        <w:rPr>
          <w:rFonts w:ascii="Calibri" w:cs="Calibri" w:eastAsia="Calibri" w:hAnsi="Calibri"/>
          <w:sz w:val="22"/>
          <w:szCs w:val="22"/>
        </w:rPr>
        <w:t xml:space="preserve">Each CAP item captures a description of the required action, an owner, a deadline date, a current status (Not started, In progress, Completed, Overdue), and evidence attachments. Overdue status is projected automatically once the deadline has passed (plus any grace days the bank has configured on the Settings page). Overdue items surface in three places:</w:t>
      </w:r>
    </w:p>
    <w:p>
      <w:pPr>
        <w:pStyle w:val="ListParagraph"/>
        <w:numPr>
          <w:ilvl w:val="0"/>
          <w:numId w:val="2"/>
        </w:numPr>
        <w:spacing w:after="80"/>
      </w:pPr>
      <w:r>
        <w:rPr>
          <w:rFonts w:ascii="Calibri" w:cs="Calibri" w:eastAsia="Calibri" w:hAnsi="Calibri"/>
          <w:sz w:val="22"/>
          <w:szCs w:val="22"/>
        </w:rPr>
        <w:t xml:space="preserve">The Follow-ups panel on the responsible officer's My Work tab (Part 2).</w:t>
      </w:r>
    </w:p>
    <w:p>
      <w:pPr>
        <w:pStyle w:val="ListParagraph"/>
        <w:numPr>
          <w:ilvl w:val="0"/>
          <w:numId w:val="2"/>
        </w:numPr>
        <w:spacing w:after="80"/>
      </w:pPr>
      <w:r>
        <w:rPr>
          <w:rFonts w:ascii="Calibri" w:cs="Calibri" w:eastAsia="Calibri" w:hAnsi="Calibri"/>
          <w:sz w:val="22"/>
          <w:szCs w:val="22"/>
        </w:rPr>
        <w:t xml:space="preserve">The overdue-CAP portfolio banner on the Manager tab (Part 4).</w:t>
      </w:r>
    </w:p>
    <w:p>
      <w:pPr>
        <w:pStyle w:val="ListParagraph"/>
        <w:numPr>
          <w:ilvl w:val="0"/>
          <w:numId w:val="2"/>
        </w:numPr>
        <w:spacing w:after="80"/>
      </w:pPr>
      <w:r>
        <w:rPr>
          <w:rFonts w:ascii="Calibri" w:cs="Calibri" w:eastAsia="Calibri" w:hAnsi="Calibri"/>
          <w:sz w:val="22"/>
          <w:szCs w:val="22"/>
        </w:rPr>
        <w:t xml:space="preserve">The loan card in the officer queue, with an "Overdue CAP" flag next to the borrower name.</w:t>
      </w:r>
    </w:p>
    <w:p>
      <w:pPr>
        <w:pStyle w:val="Heading2"/>
        <w:spacing w:after="120" w:before="260"/>
      </w:pPr>
      <w:r>
        <w:rPr>
          <w:rFonts w:ascii="Calibri" w:cs="Calibri" w:eastAsia="Calibri" w:hAnsi="Calibri"/>
          <w:b/>
          <w:bCs/>
          <w:color w:val="1B6B3D"/>
          <w:sz w:val="30"/>
          <w:szCs w:val="30"/>
        </w:rPr>
        <w:t xml:space="preserve">9.3  E&amp;S covenants</w:t>
      </w:r>
    </w:p>
    <w:p>
      <w:pPr>
        <w:spacing w:after="120"/>
      </w:pPr>
      <w:r>
        <w:rPr>
          <w:rFonts w:ascii="Calibri" w:cs="Calibri" w:eastAsia="Calibri" w:hAnsi="Calibri"/>
          <w:sz w:val="22"/>
          <w:szCs w:val="22"/>
        </w:rPr>
        <w:t xml:space="preserve">Covenants are written obligations that live in the facility agreement. The panel captures each covenant's type, wording, status (Active, Breached, Waived, Expired), and review date. The five covenant types the panel supports are:</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600"/>
        <w:gridCol w:w="6760"/>
      </w:tblGrid>
      <w:tr>
        <w:trPr>
          <w:tblHeader/>
        </w:trPr>
        <w:tc>
          <w:tcPr>
            <w:tcW w:type="dxa" w:w="26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Type</w:t>
            </w:r>
          </w:p>
        </w:tc>
        <w:tc>
          <w:tcPr>
            <w:tcW w:type="dxa" w:w="67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Meaning</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Positive</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Actions the borrower agrees to take (obtain a permit, install an ETP, join a green working group).</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Negative</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Actions the borrower agrees to refrain from (no new exposure to a red-listed sector; no discharge to unauthorised locations).</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Condition precedent</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Conditions the borrower must satisfy before disbursement or a specific tranche is released.</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Event of default</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Named E&amp;S events (fatal incident, criminal environmental prosecution) that entitle the bank to accelerate the loan.</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CAP covenant</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A covenant that mirrors a specific CAP item, so the covenant status and the CAP item status move together.</w:t>
            </w:r>
          </w:p>
        </w:tc>
      </w:tr>
    </w:tbl>
    <w:p>
      <w:pPr>
        <w:spacing w:after="12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B6B3D"/>
          <w:sz w:val="30"/>
          <w:szCs w:val="30"/>
        </w:rPr>
        <w:t xml:space="preserve">9.4  Periodic monitoring reports</w:t>
      </w:r>
    </w:p>
    <w:p>
      <w:pPr>
        <w:spacing w:after="120"/>
      </w:pPr>
      <w:r>
        <w:rPr>
          <w:rFonts w:ascii="Calibri" w:cs="Calibri" w:eastAsia="Calibri" w:hAnsi="Calibri"/>
          <w:sz w:val="22"/>
          <w:szCs w:val="22"/>
        </w:rPr>
        <w:t xml:space="preserve">Each monitoring cycle produces a Monitoring Report against the Annex 10 checklist. The cadence is driven off the loan's ESRR risk class per the bank's setting (default: Extreme 1 month, High 3 months, Medium 6 months, Low 12 months).</w:t>
      </w:r>
    </w:p>
    <w:p>
      <w:pPr>
        <w:spacing w:after="120"/>
      </w:pPr>
      <w:r>
        <w:rPr>
          <w:rFonts w:ascii="Calibri" w:cs="Calibri" w:eastAsia="Calibri" w:hAnsi="Calibri"/>
          <w:sz w:val="22"/>
          <w:szCs w:val="22"/>
        </w:rPr>
        <w:t xml:space="preserve">Each report captures the reviewer's compliance answer per checklist item (Fully implemented, Partially implemented, Not implemented, Delayed), the site-visit observations, and the evidence that supports the finding. Overdue reports appear alongside overdue CAP items in the Follow-ups panel on My Work.</w:t>
      </w:r>
    </w:p>
    <w:p>
      <w:r>
        <w:br w:type="page"/>
      </w:r>
    </w:p>
    <w:p>
      <w:pPr>
        <w:pStyle w:val="Heading1"/>
        <w:spacing w:after="160" w:before="320"/>
      </w:pPr>
      <w:r>
        <w:rPr>
          <w:rFonts w:ascii="Calibri" w:cs="Calibri" w:eastAsia="Calibri" w:hAnsi="Calibri"/>
          <w:b/>
          <w:bCs/>
          <w:color w:val="0F5132"/>
          <w:sz w:val="40"/>
          <w:szCs w:val="40"/>
        </w:rPr>
        <w:t xml:space="preserve">Part 10  |  Evidence attachments</w:t>
      </w:r>
    </w:p>
    <w:p>
      <w:pPr>
        <w:pStyle w:val="Heading2"/>
        <w:spacing w:after="120" w:before="260"/>
      </w:pPr>
      <w:r>
        <w:rPr>
          <w:rFonts w:ascii="Calibri" w:cs="Calibri" w:eastAsia="Calibri" w:hAnsi="Calibri"/>
          <w:b/>
          <w:bCs/>
          <w:color w:val="1B6B3D"/>
          <w:sz w:val="30"/>
          <w:szCs w:val="30"/>
        </w:rPr>
        <w:t xml:space="preserve">10.1  Where they appear</w:t>
      </w:r>
    </w:p>
    <w:p>
      <w:pPr>
        <w:spacing w:after="120"/>
      </w:pPr>
      <w:r>
        <w:rPr>
          <w:rFonts w:ascii="Calibri" w:cs="Calibri" w:eastAsia="Calibri" w:hAnsi="Calibri"/>
          <w:sz w:val="22"/>
          <w:szCs w:val="22"/>
        </w:rPr>
        <w:t xml:space="preserve">Every remarks-style textarea in the platform is paired with an Attachments panel. The panel accepts the source PDF, image, or Word doc that justifies whatever the officer wrote in the remarks. This covers the ESDD wizard (per question), the PF screening wizard (per item), the PCAF wizard (per flag row), CAP items, covenants, and monitoring reports.</w:t>
      </w:r>
    </w:p>
    <w:p>
      <w:pPr>
        <w:pStyle w:val="Heading2"/>
        <w:spacing w:after="120" w:before="260"/>
      </w:pPr>
      <w:r>
        <w:rPr>
          <w:rFonts w:ascii="Calibri" w:cs="Calibri" w:eastAsia="Calibri" w:hAnsi="Calibri"/>
          <w:b/>
          <w:bCs/>
          <w:color w:val="1B6B3D"/>
          <w:sz w:val="30"/>
          <w:szCs w:val="30"/>
        </w:rPr>
        <w:t xml:space="preserve">10.2  What can be attached</w:t>
      </w:r>
    </w:p>
    <w:p>
      <w:pPr>
        <w:pStyle w:val="ListParagraph"/>
        <w:numPr>
          <w:ilvl w:val="0"/>
          <w:numId w:val="2"/>
        </w:numPr>
        <w:spacing w:after="80"/>
      </w:pPr>
      <w:r>
        <w:rPr>
          <w:rFonts w:ascii="Calibri" w:cs="Calibri" w:eastAsia="Calibri" w:hAnsi="Calibri"/>
          <w:sz w:val="22"/>
          <w:szCs w:val="22"/>
        </w:rPr>
        <w:t xml:space="preserve">File size: up to 10 MB per file.</w:t>
      </w:r>
    </w:p>
    <w:p>
      <w:pPr>
        <w:pStyle w:val="ListParagraph"/>
        <w:numPr>
          <w:ilvl w:val="0"/>
          <w:numId w:val="2"/>
        </w:numPr>
        <w:spacing w:after="80"/>
      </w:pPr>
      <w:r>
        <w:rPr>
          <w:rFonts w:ascii="Calibri" w:cs="Calibri" w:eastAsia="Calibri" w:hAnsi="Calibri"/>
          <w:sz w:val="22"/>
          <w:szCs w:val="22"/>
        </w:rPr>
        <w:t xml:space="preserve">File count: multiple files per field (no fixed cap).</w:t>
      </w:r>
    </w:p>
    <w:p>
      <w:pPr>
        <w:pStyle w:val="ListParagraph"/>
        <w:numPr>
          <w:ilvl w:val="0"/>
          <w:numId w:val="2"/>
        </w:numPr>
        <w:spacing w:after="80"/>
      </w:pPr>
      <w:r>
        <w:rPr>
          <w:rFonts w:ascii="Calibri" w:cs="Calibri" w:eastAsia="Calibri" w:hAnsi="Calibri"/>
          <w:sz w:val="22"/>
          <w:szCs w:val="22"/>
        </w:rPr>
        <w:t xml:space="preserve">Accepted types: any file type the browser can upload. In practice this is PDFs, images (JPEG, PNG), Word docs, spreadsheets, and text files.</w:t>
      </w:r>
    </w:p>
    <w:p>
      <w:pPr>
        <w:pStyle w:val="Heading2"/>
        <w:spacing w:after="120" w:before="260"/>
      </w:pPr>
      <w:r>
        <w:rPr>
          <w:rFonts w:ascii="Calibri" w:cs="Calibri" w:eastAsia="Calibri" w:hAnsi="Calibri"/>
          <w:b/>
          <w:bCs/>
          <w:color w:val="1B6B3D"/>
          <w:sz w:val="30"/>
          <w:szCs w:val="30"/>
        </w:rPr>
        <w:t xml:space="preserve">10.3  Where they live and who can see them</w:t>
      </w:r>
    </w:p>
    <w:p>
      <w:pPr>
        <w:spacing w:after="120"/>
      </w:pPr>
      <w:r>
        <w:rPr>
          <w:rFonts w:ascii="Calibri" w:cs="Calibri" w:eastAsia="Calibri" w:hAnsi="Calibri"/>
          <w:sz w:val="22"/>
          <w:szCs w:val="22"/>
        </w:rPr>
        <w:t xml:space="preserve">Attachments are stored per tenant and are scoped to the entity they are attached to. Any officer at the same bank tenant can download an attachment (subject to the loan lock: a locked loan is read-only for anyone other than the owner). Attachments are never shared across tenants. The uploader's name and timestamp are stored on every file for audit.</w:t>
      </w:r>
    </w:p>
    <w:p>
      <w:pPr>
        <w:pStyle w:val="Heading2"/>
        <w:spacing w:after="120" w:before="260"/>
      </w:pPr>
      <w:r>
        <w:rPr>
          <w:rFonts w:ascii="Calibri" w:cs="Calibri" w:eastAsia="Calibri" w:hAnsi="Calibri"/>
          <w:b/>
          <w:bCs/>
          <w:color w:val="1B6B3D"/>
          <w:sz w:val="30"/>
          <w:szCs w:val="30"/>
        </w:rPr>
        <w:t xml:space="preserve">10.4  Removing an attachment</w:t>
      </w:r>
    </w:p>
    <w:p>
      <w:pPr>
        <w:spacing w:after="120"/>
      </w:pPr>
      <w:r>
        <w:rPr>
          <w:rFonts w:ascii="Calibri" w:cs="Calibri" w:eastAsia="Calibri" w:hAnsi="Calibri"/>
          <w:sz w:val="22"/>
          <w:szCs w:val="22"/>
        </w:rPr>
        <w:t xml:space="preserve">The uploader (and the manager) can delete an attachment from the panel. Deletions are hard: the file is removed from storage and no longer counted against the field. For that reason, the panel asks for a one-click confirmation before deleting.</w:t>
      </w:r>
    </w:p>
    <w:p>
      <w:r>
        <w:br w:type="page"/>
      </w:r>
    </w:p>
    <w:p>
      <w:pPr>
        <w:pStyle w:val="Heading1"/>
        <w:spacing w:after="160" w:before="320"/>
      </w:pPr>
      <w:r>
        <w:rPr>
          <w:rFonts w:ascii="Calibri" w:cs="Calibri" w:eastAsia="Calibri" w:hAnsi="Calibri"/>
          <w:b/>
          <w:bCs/>
          <w:color w:val="0F5132"/>
          <w:sz w:val="40"/>
          <w:szCs w:val="40"/>
        </w:rPr>
        <w:t xml:space="preserve">Part 11  |  NFRS tab</w:t>
      </w:r>
    </w:p>
    <w:p>
      <w:pPr>
        <w:pStyle w:val="Heading2"/>
        <w:spacing w:after="120" w:before="260"/>
      </w:pPr>
      <w:r>
        <w:rPr>
          <w:rFonts w:ascii="Calibri" w:cs="Calibri" w:eastAsia="Calibri" w:hAnsi="Calibri"/>
          <w:b/>
          <w:bCs/>
          <w:color w:val="1B6B3D"/>
          <w:sz w:val="30"/>
          <w:szCs w:val="30"/>
        </w:rPr>
        <w:t xml:space="preserve">11.1  Purpose and regulatory context</w:t>
      </w:r>
    </w:p>
    <w:p>
      <w:pPr>
        <w:spacing w:after="120"/>
      </w:pPr>
      <w:r>
        <w:rPr>
          <w:rFonts w:ascii="Calibri" w:cs="Calibri" w:eastAsia="Calibri" w:hAnsi="Calibri"/>
          <w:sz w:val="22"/>
          <w:szCs w:val="22"/>
        </w:rPr>
        <w:t xml:space="preserve">The NFRS tab is structured for the bank's climate-related financial disclosure under NFRS S1 (General Requirements) and NFRS S2 (Climate-related Disclosures). NFRS S1/S2 are Nepal's IFRS S1/S2-aligned climate disclosure standards, published in exposure draft by the Accounting Standards Board of Nepal (ASB Nepal) in April 2026 with a public comment window that closed in June 2026. The standards are now being finalised for pronouncement by the Institute of Chartered Accountants of Nepal (ICAN); the effective reporting cycle is to be determined once the finalised standards are pronounced.</w:t>
      </w:r>
    </w:p>
    <w:p>
      <w:pPr>
        <w:spacing w:after="120"/>
      </w:pPr>
      <w:r>
        <w:rPr>
          <w:rFonts w:ascii="Calibri" w:cs="Calibri" w:eastAsia="Calibri" w:hAnsi="Calibri"/>
          <w:sz w:val="22"/>
          <w:szCs w:val="22"/>
        </w:rPr>
        <w:t xml:space="preserve">The tab follows the PCAF Global GHG Accounting and Reporting Standard, Part A (3rd Edition), Category 15 (Financed Emissions). All figures are presented in NPR, consistent with the IFRS S1 presentation-currency requirement that NFRS S1 inherits. Where USD appears it is for the underlying PCAF attribution calculation, which is conventionally performed in USD because borrower enterprise values from public sources are denominated that way.</w:t>
      </w:r>
    </w:p>
    <w:p>
      <w:pPr>
        <w:pStyle w:val="Heading2"/>
        <w:spacing w:after="120" w:before="260"/>
      </w:pPr>
      <w:r>
        <w:rPr>
          <w:rFonts w:ascii="Calibri" w:cs="Calibri" w:eastAsia="Calibri" w:hAnsi="Calibri"/>
          <w:b/>
          <w:bCs/>
          <w:color w:val="1B6B3D"/>
          <w:sz w:val="30"/>
          <w:szCs w:val="30"/>
        </w:rPr>
        <w:t xml:space="preserve">11.2  Headline KPIs</w:t>
      </w:r>
    </w:p>
    <w:p>
      <w:pPr>
        <w:spacing w:after="120"/>
      </w:pPr>
      <w:r>
        <w:rPr>
          <w:rFonts w:ascii="Calibri" w:cs="Calibri" w:eastAsia="Calibri" w:hAnsi="Calibri"/>
          <w:sz w:val="22"/>
          <w:szCs w:val="22"/>
        </w:rPr>
        <w:t xml:space="preserve">The KPI row at the top reports total financed emissions for the current reporting period with a year-on-year change (labelled with the years compared, e.g. "2023 to 2024"), the most recent fully-reported year, the facility-verified share of the portfolio, and the number of unique borrowers with facility-level data. Partial years (Climate TRACE coverage through October only for 2025) are labelled as partial rather than reported as if complete.</w:t>
      </w:r>
    </w:p>
    <w:p>
      <w:pPr>
        <w:pStyle w:val="Heading2"/>
        <w:spacing w:after="120" w:before="260"/>
      </w:pPr>
      <w:r>
        <w:rPr>
          <w:rFonts w:ascii="Calibri" w:cs="Calibri" w:eastAsia="Calibri" w:hAnsi="Calibri"/>
          <w:b/>
          <w:bCs/>
          <w:color w:val="1B6B3D"/>
          <w:sz w:val="30"/>
          <w:szCs w:val="30"/>
        </w:rPr>
        <w:t xml:space="preserve">11.3  NRBSIS Green Finance Statement (Annex 4b filing export)</w:t>
      </w:r>
    </w:p>
    <w:p>
      <w:pPr>
        <w:spacing w:after="120"/>
      </w:pPr>
      <w:r>
        <w:rPr>
          <w:rFonts w:ascii="Calibri" w:cs="Calibri" w:eastAsia="Calibri" w:hAnsi="Calibri"/>
          <w:sz w:val="22"/>
          <w:szCs w:val="22"/>
        </w:rPr>
        <w:t xml:space="preserve">The NRBSIS Green Finance Statement panel exports the annual aggregate seventeen-sector Green Finance Statement per NRB Green Finance Taxonomy 2024 Annex 4b. This is the file submitted into the NRB Supervisory Information System (SIS), not just supporting evidence. Three formats are available from the panel:</w:t>
      </w:r>
    </w:p>
    <w:p>
      <w:pPr>
        <w:pStyle w:val="ListParagraph"/>
        <w:numPr>
          <w:ilvl w:val="0"/>
          <w:numId w:val="2"/>
        </w:numPr>
        <w:spacing w:after="80"/>
      </w:pPr>
      <w:r>
        <w:rPr>
          <w:rFonts w:ascii="Calibri" w:cs="Calibri" w:eastAsia="Calibri" w:hAnsi="Calibri"/>
          <w:b/>
          <w:bCs/>
          <w:sz w:val="22"/>
          <w:szCs w:val="22"/>
        </w:rPr>
        <w:t xml:space="preserve">Excel: </w:t>
      </w:r>
      <w:r>
        <w:rPr>
          <w:rFonts w:ascii="Calibri" w:cs="Calibri" w:eastAsia="Calibri" w:hAnsi="Calibri"/>
          <w:sz w:val="22"/>
          <w:szCs w:val="22"/>
        </w:rPr>
        <w:t xml:space="preserve">the SIS keying template, bank-branded (logo, colours, letterhead).</w:t>
      </w:r>
    </w:p>
    <w:p>
      <w:pPr>
        <w:pStyle w:val="ListParagraph"/>
        <w:numPr>
          <w:ilvl w:val="0"/>
          <w:numId w:val="2"/>
        </w:numPr>
        <w:spacing w:after="80"/>
      </w:pPr>
      <w:r>
        <w:rPr>
          <w:rFonts w:ascii="Calibri" w:cs="Calibri" w:eastAsia="Calibri" w:hAnsi="Calibri"/>
          <w:b/>
          <w:bCs/>
          <w:sz w:val="22"/>
          <w:szCs w:val="22"/>
        </w:rPr>
        <w:t xml:space="preserve">PDF: </w:t>
      </w:r>
      <w:r>
        <w:rPr>
          <w:rFonts w:ascii="Calibri" w:cs="Calibri" w:eastAsia="Calibri" w:hAnsi="Calibri"/>
          <w:sz w:val="22"/>
          <w:szCs w:val="22"/>
        </w:rPr>
        <w:t xml:space="preserve">signable filing document, bank-branded.</w:t>
      </w:r>
    </w:p>
    <w:p>
      <w:pPr>
        <w:pStyle w:val="ListParagraph"/>
        <w:numPr>
          <w:ilvl w:val="0"/>
          <w:numId w:val="2"/>
        </w:numPr>
        <w:spacing w:after="80"/>
      </w:pPr>
      <w:r>
        <w:rPr>
          <w:rFonts w:ascii="Calibri" w:cs="Calibri" w:eastAsia="Calibri" w:hAnsi="Calibri"/>
          <w:b/>
          <w:bCs/>
          <w:sz w:val="22"/>
          <w:szCs w:val="22"/>
        </w:rPr>
        <w:t xml:space="preserve">JSON: </w:t>
      </w:r>
      <w:r>
        <w:rPr>
          <w:rFonts w:ascii="Calibri" w:cs="Calibri" w:eastAsia="Calibri" w:hAnsi="Calibri"/>
          <w:sz w:val="22"/>
          <w:szCs w:val="22"/>
        </w:rPr>
        <w:t xml:space="preserve">structured data in the seventeen-sector shape, for downstream integrations.</w:t>
      </w:r>
    </w:p>
    <w:p>
      <w:pPr>
        <w:spacing w:after="120"/>
      </w:pPr>
      <w:r>
        <w:rPr>
          <w:rFonts w:ascii="Calibri" w:cs="Calibri" w:eastAsia="Calibri" w:hAnsi="Calibri"/>
          <w:sz w:val="22"/>
          <w:szCs w:val="22"/>
        </w:rPr>
        <w:t xml:space="preserve">The Regulatory exports panel below the filing exports a per-loan NRB Green Finance Taxonomy classification report. This is supporting evidence for the Annex 4b submission: the auditor drills into it to verify each Green / Amber / Red allocation feeding the aggregate.</w:t>
      </w:r>
    </w:p>
    <w:p>
      <w:pPr>
        <w:pStyle w:val="Heading2"/>
        <w:spacing w:after="120" w:before="260"/>
      </w:pPr>
      <w:r>
        <w:rPr>
          <w:rFonts w:ascii="Calibri" w:cs="Calibri" w:eastAsia="Calibri" w:hAnsi="Calibri"/>
          <w:b/>
          <w:bCs/>
          <w:color w:val="1B6B3D"/>
          <w:sz w:val="30"/>
          <w:szCs w:val="30"/>
        </w:rPr>
        <w:t xml:space="preserve">11.4  Data quality distribution</w:t>
      </w:r>
    </w:p>
    <w:p>
      <w:pPr>
        <w:spacing w:after="120"/>
      </w:pPr>
      <w:r>
        <w:rPr>
          <w:rFonts w:ascii="Calibri" w:cs="Calibri" w:eastAsia="Calibri" w:hAnsi="Calibri"/>
          <w:sz w:val="22"/>
          <w:szCs w:val="22"/>
        </w:rPr>
        <w:t xml:space="preserve">The Data quality distribution panel reports the share of the portfolio attributed at each PCAF Score, weighted by outstanding NPR balance. The score is computed per loan from the PCAF availability flags captured in the wizard (Part 8); it is not hardcoded.</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1000"/>
        <w:gridCol w:w="8360"/>
      </w:tblGrid>
      <w:tr>
        <w:trPr>
          <w:tblHeader/>
        </w:trPr>
        <w:tc>
          <w:tcPr>
            <w:tcW w:type="dxa" w:w="1000"/>
            <w:shd w:fill="F1F5F9" w:color="auto" w:val="clear"/>
            <w:tcMar>
              <w:top w:type="dxa" w:w="80"/>
              <w:left w:type="dxa" w:w="100"/>
              <w:bottom w:type="dxa" w:w="80"/>
              <w:right w:type="dxa" w:w="100"/>
            </w:tcMar>
          </w:tcPr>
          <w:p>
            <w:pPr>
              <w:spacing w:after="0"/>
              <w:jc w:val="center"/>
            </w:pPr>
            <w:r>
              <w:rPr>
                <w:rFonts w:ascii="Calibri" w:cs="Calibri" w:eastAsia="Calibri" w:hAnsi="Calibri"/>
                <w:b/>
                <w:bCs/>
                <w:sz w:val="22"/>
                <w:szCs w:val="22"/>
              </w:rPr>
              <w:t xml:space="preserve">Score</w:t>
            </w:r>
          </w:p>
        </w:tc>
        <w:tc>
          <w:tcPr>
            <w:tcW w:type="dxa" w:w="83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Meaning</w:t>
            </w:r>
          </w:p>
        </w:tc>
      </w:tr>
      <w:tr>
        <w:tc>
          <w:tcPr>
            <w:tcW w:type="dxa" w:w="1000"/>
            <w:tcMar>
              <w:top w:type="dxa" w:w="80"/>
              <w:left w:type="dxa" w:w="100"/>
              <w:bottom w:type="dxa" w:w="80"/>
              <w:right w:type="dxa" w:w="100"/>
            </w:tcMar>
          </w:tcPr>
          <w:p>
            <w:pPr>
              <w:spacing w:after="0"/>
              <w:jc w:val="center"/>
            </w:pPr>
            <w:r>
              <w:rPr>
                <w:rFonts w:ascii="Calibri" w:cs="Calibri" w:eastAsia="Calibri" w:hAnsi="Calibri"/>
                <w:b/>
                <w:bCs/>
                <w:sz w:val="22"/>
                <w:szCs w:val="22"/>
              </w:rPr>
              <w:t xml:space="preserve">1</w:t>
            </w:r>
          </w:p>
        </w:tc>
        <w:tc>
          <w:tcPr>
            <w:tcW w:type="dxa" w:w="8360"/>
            <w:tcMar>
              <w:top w:type="dxa" w:w="80"/>
              <w:left w:type="dxa" w:w="100"/>
              <w:bottom w:type="dxa" w:w="80"/>
              <w:right w:type="dxa" w:w="100"/>
            </w:tcMar>
          </w:tcPr>
          <w:p>
            <w:pPr>
              <w:spacing w:after="0"/>
            </w:pPr>
            <w:r>
              <w:rPr>
                <w:rFonts w:ascii="Calibri" w:cs="Calibri" w:eastAsia="Calibri" w:hAnsi="Calibri"/>
                <w:sz w:val="22"/>
                <w:szCs w:val="22"/>
              </w:rPr>
              <w:t xml:space="preserve">Verified emissions, reported directly by the borrower.</w:t>
            </w:r>
          </w:p>
        </w:tc>
      </w:tr>
      <w:tr>
        <w:tc>
          <w:tcPr>
            <w:tcW w:type="dxa" w:w="1000"/>
            <w:tcMar>
              <w:top w:type="dxa" w:w="80"/>
              <w:left w:type="dxa" w:w="100"/>
              <w:bottom w:type="dxa" w:w="80"/>
              <w:right w:type="dxa" w:w="100"/>
            </w:tcMar>
          </w:tcPr>
          <w:p>
            <w:pPr>
              <w:spacing w:after="0"/>
              <w:jc w:val="center"/>
            </w:pPr>
            <w:r>
              <w:rPr>
                <w:rFonts w:ascii="Calibri" w:cs="Calibri" w:eastAsia="Calibri" w:hAnsi="Calibri"/>
                <w:b/>
                <w:bCs/>
                <w:sz w:val="22"/>
                <w:szCs w:val="22"/>
              </w:rPr>
              <w:t xml:space="preserve">2</w:t>
            </w:r>
          </w:p>
        </w:tc>
        <w:tc>
          <w:tcPr>
            <w:tcW w:type="dxa" w:w="8360"/>
            <w:tcMar>
              <w:top w:type="dxa" w:w="80"/>
              <w:left w:type="dxa" w:w="100"/>
              <w:bottom w:type="dxa" w:w="80"/>
              <w:right w:type="dxa" w:w="100"/>
            </w:tcMar>
          </w:tcPr>
          <w:p>
            <w:pPr>
              <w:spacing w:after="0"/>
            </w:pPr>
            <w:r>
              <w:rPr>
                <w:rFonts w:ascii="Calibri" w:cs="Calibri" w:eastAsia="Calibri" w:hAnsi="Calibri"/>
                <w:sz w:val="22"/>
                <w:szCs w:val="22"/>
              </w:rPr>
              <w:t xml:space="preserve">Unverified emissions reported by the borrower (self-reported).</w:t>
            </w:r>
          </w:p>
        </w:tc>
      </w:tr>
      <w:tr>
        <w:tc>
          <w:tcPr>
            <w:tcW w:type="dxa" w:w="1000"/>
            <w:tcMar>
              <w:top w:type="dxa" w:w="80"/>
              <w:left w:type="dxa" w:w="100"/>
              <w:bottom w:type="dxa" w:w="80"/>
              <w:right w:type="dxa" w:w="100"/>
            </w:tcMar>
          </w:tcPr>
          <w:p>
            <w:pPr>
              <w:spacing w:after="0"/>
              <w:jc w:val="center"/>
            </w:pPr>
            <w:r>
              <w:rPr>
                <w:rFonts w:ascii="Calibri" w:cs="Calibri" w:eastAsia="Calibri" w:hAnsi="Calibri"/>
                <w:b/>
                <w:bCs/>
                <w:sz w:val="22"/>
                <w:szCs w:val="22"/>
              </w:rPr>
              <w:t xml:space="preserve">3</w:t>
            </w:r>
          </w:p>
        </w:tc>
        <w:tc>
          <w:tcPr>
            <w:tcW w:type="dxa" w:w="8360"/>
            <w:tcMar>
              <w:top w:type="dxa" w:w="80"/>
              <w:left w:type="dxa" w:w="100"/>
              <w:bottom w:type="dxa" w:w="80"/>
              <w:right w:type="dxa" w:w="100"/>
            </w:tcMar>
          </w:tcPr>
          <w:p>
            <w:pPr>
              <w:spacing w:after="0"/>
            </w:pPr>
            <w:r>
              <w:rPr>
                <w:rFonts w:ascii="Calibri" w:cs="Calibri" w:eastAsia="Calibri" w:hAnsi="Calibri"/>
                <w:sz w:val="22"/>
                <w:szCs w:val="22"/>
              </w:rPr>
              <w:t xml:space="preserve">Facility-attributed: Climate TRACE facility data or borrower's own physical output combined with a sector emission factor.</w:t>
            </w:r>
          </w:p>
        </w:tc>
      </w:tr>
      <w:tr>
        <w:tc>
          <w:tcPr>
            <w:tcW w:type="dxa" w:w="1000"/>
            <w:tcMar>
              <w:top w:type="dxa" w:w="80"/>
              <w:left w:type="dxa" w:w="100"/>
              <w:bottom w:type="dxa" w:w="80"/>
              <w:right w:type="dxa" w:w="100"/>
            </w:tcMar>
          </w:tcPr>
          <w:p>
            <w:pPr>
              <w:spacing w:after="0"/>
              <w:jc w:val="center"/>
            </w:pPr>
            <w:r>
              <w:rPr>
                <w:rFonts w:ascii="Calibri" w:cs="Calibri" w:eastAsia="Calibri" w:hAnsi="Calibri"/>
                <w:b/>
                <w:bCs/>
                <w:sz w:val="22"/>
                <w:szCs w:val="22"/>
              </w:rPr>
              <w:t xml:space="preserve">4</w:t>
            </w:r>
          </w:p>
        </w:tc>
        <w:tc>
          <w:tcPr>
            <w:tcW w:type="dxa" w:w="8360"/>
            <w:tcMar>
              <w:top w:type="dxa" w:w="80"/>
              <w:left w:type="dxa" w:w="100"/>
              <w:bottom w:type="dxa" w:w="80"/>
              <w:right w:type="dxa" w:w="100"/>
            </w:tcMar>
          </w:tcPr>
          <w:p>
            <w:pPr>
              <w:spacing w:after="0"/>
            </w:pPr>
            <w:r>
              <w:rPr>
                <w:rFonts w:ascii="Calibri" w:cs="Calibri" w:eastAsia="Calibri" w:hAnsi="Calibri"/>
                <w:sz w:val="22"/>
                <w:szCs w:val="22"/>
              </w:rPr>
              <w:t xml:space="preserve">Sector benchmark: borrower assigned the EDGAR sector intensity average for Nepal.</w:t>
            </w:r>
          </w:p>
        </w:tc>
      </w:tr>
      <w:tr>
        <w:tc>
          <w:tcPr>
            <w:tcW w:type="dxa" w:w="1000"/>
            <w:tcMar>
              <w:top w:type="dxa" w:w="80"/>
              <w:left w:type="dxa" w:w="100"/>
              <w:bottom w:type="dxa" w:w="80"/>
              <w:right w:type="dxa" w:w="100"/>
            </w:tcMar>
          </w:tcPr>
          <w:p>
            <w:pPr>
              <w:spacing w:after="0"/>
              <w:jc w:val="center"/>
            </w:pPr>
            <w:r>
              <w:rPr>
                <w:rFonts w:ascii="Calibri" w:cs="Calibri" w:eastAsia="Calibri" w:hAnsi="Calibri"/>
                <w:b/>
                <w:bCs/>
                <w:sz w:val="22"/>
                <w:szCs w:val="22"/>
              </w:rPr>
              <w:t xml:space="preserve">5</w:t>
            </w:r>
          </w:p>
        </w:tc>
        <w:tc>
          <w:tcPr>
            <w:tcW w:type="dxa" w:w="8360"/>
            <w:tcMar>
              <w:top w:type="dxa" w:w="80"/>
              <w:left w:type="dxa" w:w="100"/>
              <w:bottom w:type="dxa" w:w="80"/>
              <w:right w:type="dxa" w:w="100"/>
            </w:tcMar>
          </w:tcPr>
          <w:p>
            <w:pPr>
              <w:spacing w:after="0"/>
            </w:pPr>
            <w:r>
              <w:rPr>
                <w:rFonts w:ascii="Calibri" w:cs="Calibri" w:eastAsia="Calibri" w:hAnsi="Calibri"/>
                <w:sz w:val="22"/>
                <w:szCs w:val="22"/>
              </w:rPr>
              <w:t xml:space="preserve">Revenue-based estimate using national sector averages.</w:t>
            </w:r>
          </w:p>
        </w:tc>
      </w:tr>
    </w:tbl>
    <w:p>
      <w:pPr>
        <w:spacing w:after="12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B6B3D"/>
          <w:sz w:val="30"/>
          <w:szCs w:val="30"/>
        </w:rPr>
        <w:t xml:space="preserve">11.5  Multi-year trend</w:t>
      </w:r>
    </w:p>
    <w:p>
      <w:pPr>
        <w:spacing w:after="120"/>
      </w:pPr>
      <w:r>
        <w:rPr>
          <w:rFonts w:ascii="Calibri" w:cs="Calibri" w:eastAsia="Calibri" w:hAnsi="Calibri"/>
          <w:sz w:val="22"/>
          <w:szCs w:val="22"/>
        </w:rPr>
        <w:t xml:space="preserve">The multi-year trend chart shows the bank's total attributed CO2e by reporting year, with a stacked breakdown by taxonomy colour so the reader can see whether emissions reductions are coming from genuine green growth or from declining red exposure. The most recent year in the chart is marked as partial when the underlying upstream data is not yet complete for that year.</w:t>
      </w:r>
    </w:p>
    <w:p>
      <w:pPr>
        <w:pStyle w:val="Heading2"/>
        <w:spacing w:after="120" w:before="260"/>
      </w:pPr>
      <w:r>
        <w:rPr>
          <w:rFonts w:ascii="Calibri" w:cs="Calibri" w:eastAsia="Calibri" w:hAnsi="Calibri"/>
          <w:b/>
          <w:bCs/>
          <w:color w:val="1B6B3D"/>
          <w:sz w:val="30"/>
          <w:szCs w:val="30"/>
        </w:rPr>
        <w:t xml:space="preserve">11.6  Emissions by sector</w:t>
      </w:r>
    </w:p>
    <w:p>
      <w:pPr>
        <w:spacing w:after="120"/>
      </w:pPr>
      <w:r>
        <w:rPr>
          <w:rFonts w:ascii="Calibri" w:cs="Calibri" w:eastAsia="Calibri" w:hAnsi="Calibri"/>
          <w:sz w:val="22"/>
          <w:szCs w:val="22"/>
        </w:rPr>
        <w:t xml:space="preserve">The sector emissions chart shows the disclosure year's attributed CO2e broken down by NRB sector. This is the natural anchor for the sector engagement priorities section of the bank's NFRS narrative.</w:t>
      </w:r>
    </w:p>
    <w:p>
      <w:pPr>
        <w:pStyle w:val="Heading2"/>
        <w:spacing w:after="120" w:before="260"/>
      </w:pPr>
      <w:r>
        <w:rPr>
          <w:rFonts w:ascii="Calibri" w:cs="Calibri" w:eastAsia="Calibri" w:hAnsi="Calibri"/>
          <w:b/>
          <w:bCs/>
          <w:color w:val="1B6B3D"/>
          <w:sz w:val="30"/>
          <w:szCs w:val="30"/>
        </w:rPr>
        <w:t xml:space="preserve">11.7  Top contributors</w:t>
      </w:r>
    </w:p>
    <w:p>
      <w:pPr>
        <w:spacing w:after="120"/>
      </w:pPr>
      <w:r>
        <w:rPr>
          <w:rFonts w:ascii="Calibri" w:cs="Calibri" w:eastAsia="Calibri" w:hAnsi="Calibri"/>
          <w:sz w:val="22"/>
          <w:szCs w:val="22"/>
        </w:rPr>
        <w:t xml:space="preserve">The Top contributors panel lists the loans that account for the largest share of the bank's attributed CO2e in the current reporting period, sorted in descending order. Each row reports the borrower, the outstanding NPR balance, the attributed CO2e in tonnes, and the PCAF data quality score. Clicking a row opens the borrower detail panel described in Part 3.4.</w:t>
      </w:r>
    </w:p>
    <w:p>
      <w:pPr>
        <w:pStyle w:val="Heading2"/>
        <w:spacing w:after="120" w:before="260"/>
      </w:pPr>
      <w:r>
        <w:rPr>
          <w:rFonts w:ascii="Calibri" w:cs="Calibri" w:eastAsia="Calibri" w:hAnsi="Calibri"/>
          <w:b/>
          <w:bCs/>
          <w:color w:val="1B6B3D"/>
          <w:sz w:val="30"/>
          <w:szCs w:val="30"/>
        </w:rPr>
        <w:t xml:space="preserve">11.8  Disclosure preview and taxonomy portfolio breakdown</w:t>
      </w:r>
    </w:p>
    <w:p>
      <w:pPr>
        <w:spacing w:after="120"/>
      </w:pPr>
      <w:r>
        <w:rPr>
          <w:rFonts w:ascii="Calibri" w:cs="Calibri" w:eastAsia="Calibri" w:hAnsi="Calibri"/>
          <w:sz w:val="22"/>
          <w:szCs w:val="22"/>
        </w:rPr>
        <w:t xml:space="preserve">Two additional panels sit below the charts. Annual report disclosure preview shows an NFRS S2 / IFRS S2 aligned excerpt built from the current portfolio state, suitable as a starting point for the bank's disclosure narrative. Taxonomy portfolio breakdown reads the latest saved NRB Green Finance Taxonomy classifications per loan and reports the aggregate green / amber / red / unclassified split alongside the Annex 4b figures.</w:t>
      </w:r>
    </w:p>
    <w:p>
      <w:r>
        <w:br w:type="page"/>
      </w:r>
    </w:p>
    <w:p>
      <w:pPr>
        <w:pStyle w:val="Heading1"/>
        <w:spacing w:after="160" w:before="320"/>
      </w:pPr>
      <w:r>
        <w:rPr>
          <w:rFonts w:ascii="Calibri" w:cs="Calibri" w:eastAsia="Calibri" w:hAnsi="Calibri"/>
          <w:b/>
          <w:bCs/>
          <w:color w:val="0F5132"/>
          <w:sz w:val="40"/>
          <w:szCs w:val="40"/>
        </w:rPr>
        <w:t xml:space="preserve">Part 12  |  Settings</w:t>
      </w:r>
    </w:p>
    <w:p>
      <w:pPr>
        <w:pStyle w:val="Heading2"/>
        <w:spacing w:after="120" w:before="260"/>
      </w:pPr>
      <w:r>
        <w:rPr>
          <w:rFonts w:ascii="Calibri" w:cs="Calibri" w:eastAsia="Calibri" w:hAnsi="Calibri"/>
          <w:b/>
          <w:bCs/>
          <w:color w:val="1B6B3D"/>
          <w:sz w:val="30"/>
          <w:szCs w:val="30"/>
        </w:rPr>
        <w:t xml:space="preserve">12.1  Opening settings</w:t>
      </w:r>
    </w:p>
    <w:p>
      <w:pPr>
        <w:spacing w:after="120"/>
      </w:pPr>
      <w:r>
        <w:rPr>
          <w:rFonts w:ascii="Calibri" w:cs="Calibri" w:eastAsia="Calibri" w:hAnsi="Calibri"/>
          <w:sz w:val="22"/>
          <w:szCs w:val="22"/>
        </w:rPr>
        <w:t xml:space="preserve">The gear icon in the top-right of the header (next to the officer picker) opens the per-bank settings page. Any signed-in officer can edit settings in this demonstration; production deployments will gate this by role.</w:t>
      </w:r>
    </w:p>
    <w:p>
      <w:pPr>
        <w:pStyle w:val="Heading2"/>
        <w:spacing w:after="120" w:before="260"/>
      </w:pPr>
      <w:r>
        <w:rPr>
          <w:rFonts w:ascii="Calibri" w:cs="Calibri" w:eastAsia="Calibri" w:hAnsi="Calibri"/>
          <w:b/>
          <w:bCs/>
          <w:color w:val="1B6B3D"/>
          <w:sz w:val="30"/>
          <w:szCs w:val="30"/>
        </w:rPr>
        <w:t xml:space="preserve">12.2  Categories and current wiring</w:t>
      </w:r>
    </w:p>
    <w:p>
      <w:pPr>
        <w:spacing w:after="120"/>
      </w:pPr>
      <w:r>
        <w:rPr>
          <w:rFonts w:ascii="Calibri" w:cs="Calibri" w:eastAsia="Calibri" w:hAnsi="Calibri"/>
          <w:sz w:val="22"/>
          <w:szCs w:val="22"/>
        </w:rPr>
        <w:t xml:space="preserve">Settings are grouped into nine categories that mirror the tab structure plus cross-cutting concerns. One category is fully wired end-to-end in the current build; the others show their controls, persist any change the officer makes, and display a "Coming soon" pill next to the value.</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200"/>
        <w:gridCol w:w="1600"/>
        <w:gridCol w:w="5560"/>
      </w:tblGrid>
      <w:tr>
        <w:trPr>
          <w:tblHeader/>
        </w:trPr>
        <w:tc>
          <w:tcPr>
            <w:tcW w:type="dxa" w:w="22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Category</w:t>
            </w:r>
          </w:p>
        </w:tc>
        <w:tc>
          <w:tcPr>
            <w:tcW w:type="dxa" w:w="16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Status</w:t>
            </w:r>
          </w:p>
        </w:tc>
        <w:tc>
          <w:tcPr>
            <w:tcW w:type="dxa" w:w="55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Description</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ESRM</w:t>
            </w:r>
          </w:p>
        </w:tc>
        <w:tc>
          <w:tcPr>
            <w:tcW w:type="dxa" w:w="1600"/>
            <w:tcMar>
              <w:top w:type="dxa" w:w="80"/>
              <w:left w:type="dxa" w:w="100"/>
              <w:bottom w:type="dxa" w:w="80"/>
              <w:right w:type="dxa" w:w="100"/>
            </w:tcMar>
          </w:tcPr>
          <w:p>
            <w:pPr>
              <w:spacing w:after="0"/>
            </w:pPr>
            <w:r>
              <w:rPr>
                <w:rFonts w:ascii="Calibri" w:cs="Calibri" w:eastAsia="Calibri" w:hAnsi="Calibri"/>
                <w:b/>
                <w:bCs/>
                <w:color w:val="16A34A"/>
                <w:sz w:val="22"/>
                <w:szCs w:val="22"/>
              </w:rPr>
              <w:t xml:space="preserve">Wired</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Per-section remarks-required toggles for the ESDD wizard (General, EHS, Social). When on, the wizard requires a non-empty remarks textarea on every answered question in that section before Continue advances.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ESRM (other)</w:t>
            </w:r>
          </w:p>
        </w:tc>
        <w:tc>
          <w:tcPr>
            <w:tcW w:type="dxa" w:w="16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Coming soon</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Escalation trigger rule, Q2.5 climate required, auto-assignment rule. Values persist; the wiring to app behaviour is landing in a future build.</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My Work</w:t>
            </w:r>
          </w:p>
        </w:tc>
        <w:tc>
          <w:tcPr>
            <w:tcW w:type="dxa" w:w="16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Coming soon</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Officer queue routing and reminders.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Loan Book</w:t>
            </w:r>
          </w:p>
        </w:tc>
        <w:tc>
          <w:tcPr>
            <w:tcW w:type="dxa" w:w="16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Coming soon</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NPR display format (plain / millions / crores) and fiscal year mode (calendar or Nepali fiscal).</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Taxonomy</w:t>
            </w:r>
          </w:p>
        </w:tc>
        <w:tc>
          <w:tcPr>
            <w:tcW w:type="dxa" w:w="16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Coming soon</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ESRM gate mode (hard-enforce or warn-and-allow), hidden activity IDs, and escalation of missing classifications to the manager review lane.</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NFRS</w:t>
            </w:r>
          </w:p>
        </w:tc>
        <w:tc>
          <w:tcPr>
            <w:tcW w:type="dxa" w:w="16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Coming soon</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PCAF dual sign-off requirement, reporting frequency, and whether Unclassified exposures are included in the disclosure aggregate.</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CAP &amp; Monitoring</w:t>
            </w:r>
          </w:p>
        </w:tc>
        <w:tc>
          <w:tcPr>
            <w:tcW w:type="dxa" w:w="16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Coming soon</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Monitoring cadence in months by ESRR risk class and grace days before overdue.</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Notifications</w:t>
            </w:r>
          </w:p>
        </w:tc>
        <w:tc>
          <w:tcPr>
            <w:tcW w:type="dxa" w:w="16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Coming soon</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Email, SMS, push, and digest cadence.</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Bank</w:t>
            </w:r>
          </w:p>
        </w:tc>
        <w:tc>
          <w:tcPr>
            <w:tcW w:type="dxa" w:w="16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Coming soon</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Display name override for header and email templates.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This transparent split is deliberate: the settings screen is worth showing to a counterparty even though most levers are not yet acting on the app, because it makes the shape of the eventual per-bank configuration concrete. The one wired setting (ESRM remarks-required per section) demonstrates how each of the others will behave once wired.</w:t>
      </w:r>
    </w:p>
    <w:p>
      <w:r>
        <w:br w:type="page"/>
      </w:r>
    </w:p>
    <w:p>
      <w:pPr>
        <w:pStyle w:val="Heading1"/>
        <w:spacing w:after="160" w:before="320"/>
      </w:pPr>
      <w:r>
        <w:rPr>
          <w:rFonts w:ascii="Calibri" w:cs="Calibri" w:eastAsia="Calibri" w:hAnsi="Calibri"/>
          <w:b/>
          <w:bCs/>
          <w:color w:val="0F5132"/>
          <w:sz w:val="40"/>
          <w:szCs w:val="40"/>
        </w:rPr>
        <w:t xml:space="preserve">Part 13  |  Guided tour mode</w:t>
      </w:r>
    </w:p>
    <w:p>
      <w:pPr>
        <w:pStyle w:val="Heading2"/>
        <w:spacing w:after="120" w:before="260"/>
      </w:pPr>
      <w:r>
        <w:rPr>
          <w:rFonts w:ascii="Calibri" w:cs="Calibri" w:eastAsia="Calibri" w:hAnsi="Calibri"/>
          <w:b/>
          <w:bCs/>
          <w:color w:val="1B6B3D"/>
          <w:sz w:val="30"/>
          <w:szCs w:val="30"/>
        </w:rPr>
        <w:t xml:space="preserve">13.1  Six tours in the selector</w:t>
      </w:r>
    </w:p>
    <w:p>
      <w:pPr>
        <w:spacing w:after="120"/>
      </w:pPr>
      <w:r>
        <w:rPr>
          <w:rFonts w:ascii="Calibri" w:cs="Calibri" w:eastAsia="Calibri" w:hAnsi="Calibri"/>
          <w:sz w:val="22"/>
          <w:szCs w:val="22"/>
        </w:rPr>
        <w:t xml:space="preserve">The dashboard ships with six audio-narrated guided tours, each between five and eight minutes long. They auto-advance through the interface, with narration synchronised to spotlights that highlight the control being discussed. The tours are intended for first-time orientation and for internal training sessions; they do not perform any actions on the underlying data.</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200"/>
        <w:gridCol w:w="2500"/>
        <w:gridCol w:w="4660"/>
      </w:tblGrid>
      <w:tr>
        <w:trPr>
          <w:tblHeader/>
        </w:trPr>
        <w:tc>
          <w:tcPr>
            <w:tcW w:type="dxa" w:w="22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Tour</w:t>
            </w:r>
          </w:p>
        </w:tc>
        <w:tc>
          <w:tcPr>
            <w:tcW w:type="dxa" w:w="25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Audience</w:t>
            </w:r>
          </w:p>
        </w:tc>
        <w:tc>
          <w:tcPr>
            <w:tcW w:type="dxa" w:w="46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What it covers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Dashboard</w:t>
            </w:r>
          </w:p>
        </w:tc>
        <w:tc>
          <w:tcPr>
            <w:tcW w:type="dxa" w:w="2500"/>
            <w:tcMar>
              <w:top w:type="dxa" w:w="80"/>
              <w:left w:type="dxa" w:w="100"/>
              <w:bottom w:type="dxa" w:w="80"/>
              <w:right w:type="dxa" w:w="100"/>
            </w:tcMar>
          </w:tcPr>
          <w:p>
            <w:pPr>
              <w:spacing w:after="0"/>
            </w:pPr>
            <w:r>
              <w:rPr>
                <w:rFonts w:ascii="Calibri" w:cs="Calibri" w:eastAsia="Calibri" w:hAnsi="Calibri"/>
                <w:sz w:val="22"/>
                <w:szCs w:val="22"/>
              </w:rPr>
              <w:t xml:space="preserve">Any first-time user</w:t>
            </w:r>
          </w:p>
        </w:tc>
        <w:tc>
          <w:tcPr>
            <w:tcW w:type="dxa" w:w="4660"/>
            <w:tcMar>
              <w:top w:type="dxa" w:w="80"/>
              <w:left w:type="dxa" w:w="100"/>
              <w:bottom w:type="dxa" w:w="80"/>
              <w:right w:type="dxa" w:w="100"/>
            </w:tcMar>
          </w:tcPr>
          <w:p>
            <w:pPr>
              <w:spacing w:after="0"/>
            </w:pPr>
            <w:r>
              <w:rPr>
                <w:rFonts w:ascii="Calibri" w:cs="Calibri" w:eastAsia="Calibri" w:hAnsi="Calibri"/>
                <w:sz w:val="22"/>
                <w:szCs w:val="22"/>
              </w:rPr>
              <w:t xml:space="preserve">The five tabs, header controls, and the general shape of the app.</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Loan officer</w:t>
            </w:r>
          </w:p>
        </w:tc>
        <w:tc>
          <w:tcPr>
            <w:tcW w:type="dxa" w:w="2500"/>
            <w:tcMar>
              <w:top w:type="dxa" w:w="80"/>
              <w:left w:type="dxa" w:w="100"/>
              <w:bottom w:type="dxa" w:w="80"/>
              <w:right w:type="dxa" w:w="100"/>
            </w:tcMar>
          </w:tcPr>
          <w:p>
            <w:pPr>
              <w:spacing w:after="0"/>
            </w:pPr>
            <w:r>
              <w:rPr>
                <w:rFonts w:ascii="Calibri" w:cs="Calibri" w:eastAsia="Calibri" w:hAnsi="Calibri"/>
                <w:sz w:val="22"/>
                <w:szCs w:val="22"/>
              </w:rPr>
              <w:t xml:space="preserve">Loan officers</w:t>
            </w:r>
          </w:p>
        </w:tc>
        <w:tc>
          <w:tcPr>
            <w:tcW w:type="dxa" w:w="4660"/>
            <w:tcMar>
              <w:top w:type="dxa" w:w="80"/>
              <w:left w:type="dxa" w:w="100"/>
              <w:bottom w:type="dxa" w:w="80"/>
              <w:right w:type="dxa" w:w="100"/>
            </w:tcMar>
          </w:tcPr>
          <w:p>
            <w:pPr>
              <w:spacing w:after="0"/>
            </w:pPr>
            <w:r>
              <w:rPr>
                <w:rFonts w:ascii="Calibri" w:cs="Calibri" w:eastAsia="Calibri" w:hAnsi="Calibri"/>
                <w:sz w:val="22"/>
                <w:szCs w:val="22"/>
              </w:rPr>
              <w:t xml:space="preserve">A day in the life of an officer: My Work, claim a loan, walk through ESDD, taxonomy, and PCAF wizards, save the screening.</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Manager</w:t>
            </w:r>
          </w:p>
        </w:tc>
        <w:tc>
          <w:tcPr>
            <w:tcW w:type="dxa" w:w="2500"/>
            <w:tcMar>
              <w:top w:type="dxa" w:w="80"/>
              <w:left w:type="dxa" w:w="100"/>
              <w:bottom w:type="dxa" w:w="80"/>
              <w:right w:type="dxa" w:w="100"/>
            </w:tcMar>
          </w:tcPr>
          <w:p>
            <w:pPr>
              <w:spacing w:after="0"/>
            </w:pPr>
            <w:r>
              <w:rPr>
                <w:rFonts w:ascii="Calibri" w:cs="Calibri" w:eastAsia="Calibri" w:hAnsi="Calibri"/>
                <w:sz w:val="22"/>
                <w:szCs w:val="22"/>
              </w:rPr>
              <w:t xml:space="preserve">Compliance / credit committee</w:t>
            </w:r>
          </w:p>
        </w:tc>
        <w:tc>
          <w:tcPr>
            <w:tcW w:type="dxa" w:w="4660"/>
            <w:tcMar>
              <w:top w:type="dxa" w:w="80"/>
              <w:left w:type="dxa" w:w="100"/>
              <w:bottom w:type="dxa" w:w="80"/>
              <w:right w:type="dxa" w:w="100"/>
            </w:tcMar>
          </w:tcPr>
          <w:p>
            <w:pPr>
              <w:spacing w:after="0"/>
            </w:pPr>
            <w:r>
              <w:rPr>
                <w:rFonts w:ascii="Calibri" w:cs="Calibri" w:eastAsia="Calibri" w:hAnsi="Calibri"/>
                <w:sz w:val="22"/>
                <w:szCs w:val="22"/>
              </w:rPr>
              <w:t xml:space="preserve">Escalation banner, overdue-CAP banner, application queue, workbench sub-tabs, assignment and lock model.</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PF screening</w:t>
            </w:r>
          </w:p>
        </w:tc>
        <w:tc>
          <w:tcPr>
            <w:tcW w:type="dxa" w:w="2500"/>
            <w:tcMar>
              <w:top w:type="dxa" w:w="80"/>
              <w:left w:type="dxa" w:w="100"/>
              <w:bottom w:type="dxa" w:w="80"/>
              <w:right w:type="dxa" w:w="100"/>
            </w:tcMar>
          </w:tcPr>
          <w:p>
            <w:pPr>
              <w:spacing w:after="0"/>
            </w:pPr>
            <w:r>
              <w:rPr>
                <w:rFonts w:ascii="Calibri" w:cs="Calibri" w:eastAsia="Calibri" w:hAnsi="Calibri"/>
                <w:sz w:val="22"/>
                <w:szCs w:val="22"/>
              </w:rPr>
              <w:t xml:space="preserve">Project-finance officers</w:t>
            </w:r>
          </w:p>
        </w:tc>
        <w:tc>
          <w:tcPr>
            <w:tcW w:type="dxa" w:w="4660"/>
            <w:tcMar>
              <w:top w:type="dxa" w:w="80"/>
              <w:left w:type="dxa" w:w="100"/>
              <w:bottom w:type="dxa" w:w="80"/>
              <w:right w:type="dxa" w:w="100"/>
            </w:tcMar>
          </w:tcPr>
          <w:p>
            <w:pPr>
              <w:spacing w:after="0"/>
            </w:pPr>
            <w:r>
              <w:rPr>
                <w:rFonts w:ascii="Calibri" w:cs="Calibri" w:eastAsia="Calibri" w:hAnsi="Calibri"/>
                <w:sz w:val="22"/>
                <w:szCs w:val="22"/>
              </w:rPr>
              <w:t xml:space="preserve">The 148-item Annex 5b questionnaire, the eight IFC Performance Standards, termination-grade triggers, and the aggregate risk classification.</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PCAF scoring</w:t>
            </w:r>
          </w:p>
        </w:tc>
        <w:tc>
          <w:tcPr>
            <w:tcW w:type="dxa" w:w="2500"/>
            <w:tcMar>
              <w:top w:type="dxa" w:w="80"/>
              <w:left w:type="dxa" w:w="100"/>
              <w:bottom w:type="dxa" w:w="80"/>
              <w:right w:type="dxa" w:w="100"/>
            </w:tcMar>
          </w:tcPr>
          <w:p>
            <w:pPr>
              <w:spacing w:after="0"/>
            </w:pPr>
            <w:r>
              <w:rPr>
                <w:rFonts w:ascii="Calibri" w:cs="Calibri" w:eastAsia="Calibri" w:hAnsi="Calibri"/>
                <w:sz w:val="22"/>
                <w:szCs w:val="22"/>
              </w:rPr>
              <w:t xml:space="preserve">ESG officers, disclosure teams</w:t>
            </w:r>
          </w:p>
        </w:tc>
        <w:tc>
          <w:tcPr>
            <w:tcW w:type="dxa" w:w="4660"/>
            <w:tcMar>
              <w:top w:type="dxa" w:w="80"/>
              <w:left w:type="dxa" w:w="100"/>
              <w:bottom w:type="dxa" w:w="80"/>
              <w:right w:type="dxa" w:w="100"/>
            </w:tcMar>
          </w:tcPr>
          <w:p>
            <w:pPr>
              <w:spacing w:after="0"/>
            </w:pPr>
            <w:r>
              <w:rPr>
                <w:rFonts w:ascii="Calibri" w:cs="Calibri" w:eastAsia="Calibri" w:hAnsi="Calibri"/>
                <w:sz w:val="22"/>
                <w:szCs w:val="22"/>
              </w:rPr>
              <w:t xml:space="preserve">The four flag rows, AUTO vs OVERRIDE, evidence per flag, and how the flag choice becomes the Score.</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NFRS</w:t>
            </w:r>
          </w:p>
        </w:tc>
        <w:tc>
          <w:tcPr>
            <w:tcW w:type="dxa" w:w="2500"/>
            <w:tcMar>
              <w:top w:type="dxa" w:w="80"/>
              <w:left w:type="dxa" w:w="100"/>
              <w:bottom w:type="dxa" w:w="80"/>
              <w:right w:type="dxa" w:w="100"/>
            </w:tcMar>
          </w:tcPr>
          <w:p>
            <w:pPr>
              <w:spacing w:after="0"/>
            </w:pPr>
            <w:r>
              <w:rPr>
                <w:rFonts w:ascii="Calibri" w:cs="Calibri" w:eastAsia="Calibri" w:hAnsi="Calibri"/>
                <w:sz w:val="22"/>
                <w:szCs w:val="22"/>
              </w:rPr>
              <w:t xml:space="preserve">Disclosure teams, senior management</w:t>
            </w:r>
          </w:p>
        </w:tc>
        <w:tc>
          <w:tcPr>
            <w:tcW w:type="dxa" w:w="4660"/>
            <w:tcMar>
              <w:top w:type="dxa" w:w="80"/>
              <w:left w:type="dxa" w:w="100"/>
              <w:bottom w:type="dxa" w:w="80"/>
              <w:right w:type="dxa" w:w="100"/>
            </w:tcMar>
          </w:tcPr>
          <w:p>
            <w:pPr>
              <w:spacing w:after="0"/>
            </w:pPr>
            <w:r>
              <w:rPr>
                <w:rFonts w:ascii="Calibri" w:cs="Calibri" w:eastAsia="Calibri" w:hAnsi="Calibri"/>
                <w:sz w:val="22"/>
                <w:szCs w:val="22"/>
              </w:rPr>
              <w:t xml:space="preserve">The disclosure-ready view, Annex 4b filing export, multi-year trend, PCAF distribution, top contributors, and disclosure preview.</w:t>
            </w:r>
          </w:p>
        </w:tc>
      </w:tr>
    </w:tbl>
    <w:p>
      <w:pPr>
        <w:spacing w:after="12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B6B3D"/>
          <w:sz w:val="30"/>
          <w:szCs w:val="30"/>
        </w:rPr>
        <w:t xml:space="preserve">13.2  Controls</w:t>
      </w:r>
    </w:p>
    <w:p>
      <w:pPr>
        <w:spacing w:after="120"/>
      </w:pPr>
      <w:r>
        <w:rPr>
          <w:rFonts w:ascii="Calibri" w:cs="Calibri" w:eastAsia="Calibri" w:hAnsi="Calibri"/>
          <w:sz w:val="22"/>
          <w:szCs w:val="22"/>
        </w:rPr>
        <w:t xml:space="preserve">The tour selector is in the top-right of the header. Select a tour from the dropdown to open it. Play / pause, previous step, and next step controls are available throughout. A tour automatically selects a representative borrower and loan where it needs to, so the narration and the visible figures stay in sync.</w:t>
      </w:r>
    </w:p>
    <w:p>
      <w:pPr>
        <w:spacing w:after="120"/>
      </w:pPr>
      <w:r>
        <w:rPr>
          <w:rFonts w:ascii="Calibri" w:cs="Calibri" w:eastAsia="Calibri" w:hAnsi="Calibri"/>
          <w:sz w:val="22"/>
          <w:szCs w:val="22"/>
        </w:rPr>
        <w:t xml:space="preserve">Each bank tenant has its own recorded audio (so branding-sensitive language and pronunciations match the tenant). Adding a new tenant is a matter of dropping a set of tour scripts and audio files into the platform's data folder and adding the tenant to the tour registry.</w:t>
      </w:r>
    </w:p>
    <w:p>
      <w:r>
        <w:br w:type="page"/>
      </w:r>
    </w:p>
    <w:p>
      <w:pPr>
        <w:pStyle w:val="Heading1"/>
        <w:spacing w:after="160" w:before="320"/>
      </w:pPr>
      <w:r>
        <w:rPr>
          <w:rFonts w:ascii="Calibri" w:cs="Calibri" w:eastAsia="Calibri" w:hAnsi="Calibri"/>
          <w:b/>
          <w:bCs/>
          <w:color w:val="0F5132"/>
          <w:sz w:val="40"/>
          <w:szCs w:val="40"/>
        </w:rPr>
        <w:t xml:space="preserve">Part 14  |  Glossary</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200"/>
        <w:gridCol w:w="7160"/>
      </w:tblGrid>
      <w:tr>
        <w:trPr>
          <w:tblHeader/>
        </w:trPr>
        <w:tc>
          <w:tcPr>
            <w:tcW w:type="dxa" w:w="22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Term</w:t>
            </w:r>
          </w:p>
        </w:tc>
        <w:tc>
          <w:tcPr>
            <w:tcW w:type="dxa" w:w="71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Definition</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Annex 4b</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NRB Green Finance Taxonomy (October 2024), Annex 4b: the seventeen-sector Green Finance Statement aggregate that the bank keys into NRBSIS annually.</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Annex 5</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NRB Circular 22 (Second Edition, 2022), Annex 5: the sector-agnostic twelve-question ESDD checklist.</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Annex 5b</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NRB Circular 22 Annex 5b: the Project Finance Screening Questionnaire, 148 items aligned to the eight IFC Performance Standards.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Attribution factor</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The fraction of a borrower's total emissions allocated to a specific loan, calculated as outstanding loan balance divided by borrower enterprise value (PCAF convention). Capped at 100% in this demonstration.</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CAP</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Corrective Action Plan: the time-bound remediation plan Circular 22 §7.3.5 requires on every loan rated Medium or High.</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Circular 22</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The commonly-used name for NRB Directive 22 (ESRM Guidelines). This manual uses "Circular 22" throughout to mean the Second Edition (2022), which superseded the 2018 original.</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Climate TRACE</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Global facility-level emissions inventory used as the facility-tier data source. The 2024 v5.6 release is the snapshot referenced throughout the demonstration.</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Covenant</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A written obligation in the facility agreement. See Part 9.3 for the five types the platform captures.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DNSH</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Do No Significant Harm: the set of environmental and social checks the NRB Green Finance Taxonomy requires alongside each activity's technical criteria, e.g. environmental flow, resettlement discharge, biodiversity offset, seismic assessment.</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EDGAR</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Emissions Database for Global Atmospheric Research, produced by the European Commission Joint Research Centre. The v8.1 gridded release, polygon-clipped to Nepal, supports the national denominator and sector benchmarks.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Escalation trigger</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A rule that flags a screening for credit-committee review. The default rule escalates on any (c) answer in Circular 22 Annex 5; two (c) answers in Section 3 escalate further.</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ESDD</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Environmental and Social Due Diligence: the structured screening Circular 22 §5 requires for applicable loan applications.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ESRM</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Environmental and Social Risk Management. In Nepal the term specifically refers to NRB Circular 22 (Second Edition, 2022).</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Follow-up</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A CAP item or monitoring report with a deadline in the next 30 days (or already past). Surfaced on the Follow-ups panel on My Work.</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GCCT</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Global Cement and Concrete Tracker, published by Global Energy Monitor. The July 2025 release supplies cement plant capacity and ownership metadata.</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GEM</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Global Energy Monitor, the publisher of the cement, coal, oil, gas, and wind trackers used to enrich borrower data.</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IFC Performance Standard (PS)</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One of the eight standards in the IFC Performance Standards on Environmental and Social Sustainability (2012). PS1 to PS8 anchor the NRB Annex 5b Project Finance Screening Questionnaire.</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Loan lock</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The platform's assignment model: only the officer who owns a loan can edit its wizards and workbench. Non-owners see the same surface read-only with a rose lock banner.</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Monitoring report</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The Circular 22 §7.3.7 periodic monitoring report against the Annex 10 checklist. Cadence is set by ESRR risk class.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NFRS</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Nepal Financial Reporting Standards. NFRS S1 and S2 are Nepal's IFRS S1 / S2 aligned sustainability standards, in exposure-draft form as of April 2026 and being finalised for pronouncement by ICAN.</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NRB</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Nepal Rastra Bank, the central bank of Nepal and the prudential regulator for commercial banks.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NRBSIS</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NRB Supervisory Information System: the reporting channel through which the Annex 4b Green Finance Statement is submitted.</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OpenAQ</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Open air quality data network. Nepal coverage is sparse and irregular; the dashboard surfaces a reading only where a station is in operating range of the facility.</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PCAF</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Partnership for Carbon Accounting Financials, publisher of the Global GHG Accounting and Reporting Standard. Part A, 3rd Edition, Category 15 Financed Emissions is the methodology used throughout.</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PCAF Data Quality Score</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A 1 to 5 score where 1 represents verified borrower-reported emissions and 5 represents a revenue-based estimate using sector averages.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Retail loan pool</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A synthetic borrower used to aggregate retail loans (mortgages, vehicle, personal, education) for PCAF attribution.</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Taxonomy colour</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Green, amber, red, or unclassified categorisation of a loan under the NRB Green Finance Taxonomy (October 2024).</w:t>
            </w:r>
          </w:p>
        </w:tc>
      </w:tr>
    </w:tbl>
    <w:p>
      <w:r>
        <w:br w:type="page"/>
      </w:r>
    </w:p>
    <w:p>
      <w:pPr>
        <w:pStyle w:val="Heading1"/>
        <w:spacing w:after="160" w:before="320"/>
      </w:pPr>
      <w:r>
        <w:rPr>
          <w:rFonts w:ascii="Calibri" w:cs="Calibri" w:eastAsia="Calibri" w:hAnsi="Calibri"/>
          <w:b/>
          <w:bCs/>
          <w:color w:val="0F5132"/>
          <w:sz w:val="40"/>
          <w:szCs w:val="40"/>
        </w:rPr>
        <w:t xml:space="preserve">Part 15  |  Regulatory frameworks and methodology</w:t>
      </w:r>
    </w:p>
    <w:p>
      <w:pPr>
        <w:spacing w:after="120"/>
      </w:pPr>
      <w:r>
        <w:rPr>
          <w:rFonts w:ascii="Calibri" w:cs="Calibri" w:eastAsia="Calibri" w:hAnsi="Calibri"/>
          <w:sz w:val="22"/>
          <w:szCs w:val="22"/>
        </w:rPr>
        <w:t xml:space="preserve">The dashboard is built against the regulatory frameworks and accounting methodology that apply to commercial banks in Nepal. Five reference documents anchor the design of the five tabs and the per-loan wizards:</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3600"/>
        <w:gridCol w:w="5760"/>
      </w:tblGrid>
      <w:tr>
        <w:trPr>
          <w:tblHeader/>
        </w:trPr>
        <w:tc>
          <w:tcPr>
            <w:tcW w:type="dxa" w:w="36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Reference document</w:t>
            </w:r>
          </w:p>
        </w:tc>
        <w:tc>
          <w:tcPr>
            <w:tcW w:type="dxa" w:w="57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Role in the dashboard</w:t>
            </w:r>
          </w:p>
        </w:tc>
      </w:tr>
      <w:tr>
        <w:tc>
          <w:tcPr>
            <w:tcW w:type="dxa" w:w="3600"/>
            <w:tcMar>
              <w:top w:type="dxa" w:w="80"/>
              <w:left w:type="dxa" w:w="100"/>
              <w:bottom w:type="dxa" w:w="80"/>
              <w:right w:type="dxa" w:w="100"/>
            </w:tcMar>
          </w:tcPr>
          <w:p>
            <w:pPr>
              <w:spacing w:after="0"/>
            </w:pPr>
            <w:r>
              <w:rPr>
                <w:rFonts w:ascii="Calibri" w:cs="Calibri" w:eastAsia="Calibri" w:hAnsi="Calibri"/>
                <w:b/>
                <w:bCs/>
                <w:sz w:val="22"/>
                <w:szCs w:val="22"/>
              </w:rPr>
              <w:t xml:space="preserve">NRB ESRM Guidelines, Second Edition (2022), Circular 22</w:t>
            </w:r>
          </w:p>
        </w:tc>
        <w:tc>
          <w:tcPr>
            <w:tcW w:type="dxa" w:w="5760"/>
            <w:tcMar>
              <w:top w:type="dxa" w:w="80"/>
              <w:left w:type="dxa" w:w="100"/>
              <w:bottom w:type="dxa" w:w="80"/>
              <w:right w:type="dxa" w:w="100"/>
            </w:tcMar>
          </w:tcPr>
          <w:p>
            <w:pPr>
              <w:spacing w:after="0"/>
            </w:pPr>
            <w:r>
              <w:rPr>
                <w:rFonts w:ascii="Calibri" w:cs="Calibri" w:eastAsia="Calibri" w:hAnsi="Calibri"/>
                <w:sz w:val="22"/>
                <w:szCs w:val="22"/>
              </w:rPr>
              <w:t xml:space="preserve">Annex 5 (12-question ESDD checklist) drives the ESDD wizard. Annex 5b (148-item Project Finance Screening Questionnaire, IFC PS1-PS8 aligned) drives the PF screening wizard. §7.3.5 (CAP + covenants) and §7.3.7 (periodic monitoring) drive the CAP + Covenants sub-tab on the Manager workbench. §4.3 climate reporting threshold (25,000 tCO2e/yr) drives the climate flag on the loan card.</w:t>
            </w:r>
          </w:p>
        </w:tc>
      </w:tr>
      <w:tr>
        <w:tc>
          <w:tcPr>
            <w:tcW w:type="dxa" w:w="3600"/>
            <w:tcMar>
              <w:top w:type="dxa" w:w="80"/>
              <w:left w:type="dxa" w:w="100"/>
              <w:bottom w:type="dxa" w:w="80"/>
              <w:right w:type="dxa" w:w="100"/>
            </w:tcMar>
          </w:tcPr>
          <w:p>
            <w:pPr>
              <w:spacing w:after="0"/>
            </w:pPr>
            <w:r>
              <w:rPr>
                <w:rFonts w:ascii="Calibri" w:cs="Calibri" w:eastAsia="Calibri" w:hAnsi="Calibri"/>
                <w:b/>
                <w:bCs/>
                <w:sz w:val="22"/>
                <w:szCs w:val="22"/>
              </w:rPr>
              <w:t xml:space="preserve">NRB Green Finance Taxonomy (October 2024)</w:t>
            </w:r>
          </w:p>
        </w:tc>
        <w:tc>
          <w:tcPr>
            <w:tcW w:type="dxa" w:w="5760"/>
            <w:tcMar>
              <w:top w:type="dxa" w:w="80"/>
              <w:left w:type="dxa" w:w="100"/>
              <w:bottom w:type="dxa" w:w="80"/>
              <w:right w:type="dxa" w:w="100"/>
            </w:tcMar>
          </w:tcPr>
          <w:p>
            <w:pPr>
              <w:spacing w:after="0"/>
            </w:pPr>
            <w:r>
              <w:rPr>
                <w:rFonts w:ascii="Calibri" w:cs="Calibri" w:eastAsia="Calibri" w:hAnsi="Calibri"/>
                <w:sz w:val="22"/>
                <w:szCs w:val="22"/>
              </w:rPr>
              <w:t xml:space="preserve">Drives the Taxonomy tab, the per-loan taxonomy wizard, and the NRBSIS Green Finance Statement (Annex 4b) filing export on the NFRS tab. The seventeen SIS sectors and the activities they contain are encoded in the platform.</w:t>
            </w:r>
          </w:p>
        </w:tc>
      </w:tr>
      <w:tr>
        <w:tc>
          <w:tcPr>
            <w:tcW w:type="dxa" w:w="3600"/>
            <w:tcMar>
              <w:top w:type="dxa" w:w="80"/>
              <w:left w:type="dxa" w:w="100"/>
              <w:bottom w:type="dxa" w:w="80"/>
              <w:right w:type="dxa" w:w="100"/>
            </w:tcMar>
          </w:tcPr>
          <w:p>
            <w:pPr>
              <w:spacing w:after="0"/>
            </w:pPr>
            <w:r>
              <w:rPr>
                <w:rFonts w:ascii="Calibri" w:cs="Calibri" w:eastAsia="Calibri" w:hAnsi="Calibri"/>
                <w:b/>
                <w:bCs/>
                <w:sz w:val="22"/>
                <w:szCs w:val="22"/>
              </w:rPr>
              <w:t xml:space="preserve">NFRS S1 and S2 (April 2026 exposure drafts, ASB Nepal)</w:t>
            </w:r>
          </w:p>
        </w:tc>
        <w:tc>
          <w:tcPr>
            <w:tcW w:type="dxa" w:w="5760"/>
            <w:tcMar>
              <w:top w:type="dxa" w:w="80"/>
              <w:left w:type="dxa" w:w="100"/>
              <w:bottom w:type="dxa" w:w="80"/>
              <w:right w:type="dxa" w:w="100"/>
            </w:tcMar>
          </w:tcPr>
          <w:p>
            <w:pPr>
              <w:spacing w:after="0"/>
            </w:pPr>
            <w:r>
              <w:rPr>
                <w:rFonts w:ascii="Calibri" w:cs="Calibri" w:eastAsia="Calibri" w:hAnsi="Calibri"/>
                <w:sz w:val="22"/>
                <w:szCs w:val="22"/>
              </w:rPr>
              <w:t xml:space="preserve">Nepal's IFRS S1 / S2 aligned sustainability disclosure standards. NFRS S1 covers general requirements, NFRS S2 covers climate-related disclosures. Published in exposure draft by ASB Nepal in April 2026, public comment window closed in June 2026, being finalised for pronouncement by ICAN. The NFRS tab is structured for the bank's disclosure once the standards are pronounced.</w:t>
            </w:r>
          </w:p>
        </w:tc>
      </w:tr>
      <w:tr>
        <w:tc>
          <w:tcPr>
            <w:tcW w:type="dxa" w:w="3600"/>
            <w:tcMar>
              <w:top w:type="dxa" w:w="80"/>
              <w:left w:type="dxa" w:w="100"/>
              <w:bottom w:type="dxa" w:w="80"/>
              <w:right w:type="dxa" w:w="100"/>
            </w:tcMar>
          </w:tcPr>
          <w:p>
            <w:pPr>
              <w:spacing w:after="0"/>
            </w:pPr>
            <w:r>
              <w:rPr>
                <w:rFonts w:ascii="Calibri" w:cs="Calibri" w:eastAsia="Calibri" w:hAnsi="Calibri"/>
                <w:b/>
                <w:bCs/>
                <w:sz w:val="22"/>
                <w:szCs w:val="22"/>
              </w:rPr>
              <w:t xml:space="preserve">PCAF Global GHG Accounting and Reporting Standard, Part A (3rd Edition)</w:t>
            </w:r>
          </w:p>
        </w:tc>
        <w:tc>
          <w:tcPr>
            <w:tcW w:type="dxa" w:w="5760"/>
            <w:tcMar>
              <w:top w:type="dxa" w:w="80"/>
              <w:left w:type="dxa" w:w="100"/>
              <w:bottom w:type="dxa" w:w="80"/>
              <w:right w:type="dxa" w:w="100"/>
            </w:tcMar>
          </w:tcPr>
          <w:p>
            <w:pPr>
              <w:spacing w:after="0"/>
            </w:pPr>
            <w:r>
              <w:rPr>
                <w:rFonts w:ascii="Calibri" w:cs="Calibri" w:eastAsia="Calibri" w:hAnsi="Calibri"/>
                <w:sz w:val="22"/>
                <w:szCs w:val="22"/>
              </w:rPr>
              <w:t xml:space="preserve">Category 15 Financed Emissions methodology and Data Quality scoring drive the NFRS tab and the PCAF availability wizard. §5.2 and §5.3 define the four Options (1a, 1b, 2b, 3a) that the wizard captures via its four flag rows.</w:t>
            </w:r>
          </w:p>
        </w:tc>
      </w:tr>
      <w:tr>
        <w:tc>
          <w:tcPr>
            <w:tcW w:type="dxa" w:w="3600"/>
            <w:tcMar>
              <w:top w:type="dxa" w:w="80"/>
              <w:left w:type="dxa" w:w="100"/>
              <w:bottom w:type="dxa" w:w="80"/>
              <w:right w:type="dxa" w:w="100"/>
            </w:tcMar>
          </w:tcPr>
          <w:p>
            <w:pPr>
              <w:spacing w:after="0"/>
            </w:pPr>
            <w:r>
              <w:rPr>
                <w:rFonts w:ascii="Calibri" w:cs="Calibri" w:eastAsia="Calibri" w:hAnsi="Calibri"/>
                <w:b/>
                <w:bCs/>
                <w:sz w:val="22"/>
                <w:szCs w:val="22"/>
              </w:rPr>
              <w:t xml:space="preserve">IFC Performance Standards on Environmental and Social Sustainability (2012)</w:t>
            </w:r>
          </w:p>
        </w:tc>
        <w:tc>
          <w:tcPr>
            <w:tcW w:type="dxa" w:w="5760"/>
            <w:tcMar>
              <w:top w:type="dxa" w:w="80"/>
              <w:left w:type="dxa" w:w="100"/>
              <w:bottom w:type="dxa" w:w="80"/>
              <w:right w:type="dxa" w:w="100"/>
            </w:tcMar>
          </w:tcPr>
          <w:p>
            <w:pPr>
              <w:spacing w:after="0"/>
            </w:pPr>
            <w:r>
              <w:rPr>
                <w:rFonts w:ascii="Calibri" w:cs="Calibri" w:eastAsia="Calibri" w:hAnsi="Calibri"/>
                <w:sz w:val="22"/>
                <w:szCs w:val="22"/>
              </w:rPr>
              <w:t xml:space="preserve">PS1 through PS8 anchor the NRB Circular 22 Annex 5b Project Finance Screening Questionnaire. Termination-grade triggers cited on individual items reference the specific IFC PS paragraph.</w:t>
            </w:r>
          </w:p>
        </w:tc>
      </w:tr>
    </w:tbl>
    <w:p>
      <w:pPr>
        <w:spacing w:after="120"/>
      </w:pPr>
      <w:r>
        <w:rPr>
          <w:rFonts w:ascii="Calibri" w:cs="Calibri" w:eastAsia="Calibri" w:hAnsi="Calibri"/>
          <w:sz w:val="22"/>
          <w:szCs w:val="22"/>
        </w:rPr>
        <w:t xml:space="preserve"/>
      </w:r>
    </w:p>
    <w:tbl>
      <w:tblPr>
        <w:tblW w:type="dxa" w:w="9360"/>
        <w:tblBorders>
          <w:top w:val="single" w:color="F59E0B" w:sz="12"/>
          <w:left w:val="single" w:color="F59E0B" w:sz="12"/>
          <w:bottom w:val="single" w:color="F59E0B" w:sz="12"/>
          <w:right w:val="single" w:color="F59E0B" w:sz="12"/>
          <w:insideH w:val="none" w:color="auto" w:sz="0"/>
          <w:insideV w:val="none" w:color="auto" w:sz="0"/>
        </w:tblBorders>
      </w:tblPr>
      <w:tblGrid>
        <w:gridCol w:w="9360"/>
      </w:tblGrid>
      <w:tr>
        <w:tc>
          <w:tcPr>
            <w:tcW w:type="dxa" w:w="9360"/>
            <w:shd w:fill="FEF3C7" w:color="auto" w:val="clear"/>
            <w:tcMar>
              <w:top w:type="dxa" w:w="160"/>
              <w:left w:type="dxa" w:w="200"/>
              <w:bottom w:type="dxa" w:w="160"/>
              <w:right w:type="dxa" w:w="200"/>
            </w:tcMar>
          </w:tcPr>
          <w:p>
            <w:pPr>
              <w:spacing w:after="100"/>
            </w:pPr>
            <w:r>
              <w:rPr>
                <w:rFonts w:ascii="Calibri" w:cs="Calibri" w:eastAsia="Calibri" w:hAnsi="Calibri"/>
                <w:b/>
                <w:bCs/>
                <w:color w:val="334155"/>
                <w:sz w:val="22"/>
                <w:szCs w:val="22"/>
              </w:rPr>
              <w:t xml:space="preserve">Replacing demonstration data with bank source-of-record data</w:t>
            </w:r>
          </w:p>
          <w:p>
            <w:pPr>
              <w:spacing w:after="0"/>
            </w:pPr>
            <w:r>
              <w:rPr>
                <w:rFonts w:ascii="Calibri" w:cs="Calibri" w:eastAsia="Calibri" w:hAnsi="Calibri"/>
                <w:sz w:val="22"/>
                <w:szCs w:val="22"/>
              </w:rPr>
              <w:t xml:space="preserve">When this dashboard moves from demonstration to production for a specific commercial bank, the synthesized loan book and borrower catalog are replaced by a direct integration with that bank's core banking system. The regulatory references above continue to anchor the design unchanged. The integration approach is described in detail in the companion document Jana Integration with Bank Systems, included in the same documentation set as this manual.</w:t>
            </w:r>
          </w:p>
        </w:tc>
      </w:tr>
    </w:tbl>
    <w:tbl>
      <w:tblPr>
        <w:tblW w:type="dxa" w:w="9360"/>
        <w:tblBorders>
          <w:top w:val="single" w:color="F59E0B" w:sz="12"/>
          <w:left w:val="single" w:color="F59E0B" w:sz="12"/>
          <w:bottom w:val="single" w:color="F59E0B" w:sz="12"/>
          <w:right w:val="single" w:color="F59E0B" w:sz="12"/>
          <w:insideH w:val="none" w:color="auto" w:sz="0"/>
          <w:insideV w:val="none" w:color="auto" w:sz="0"/>
        </w:tblBorders>
      </w:tblPr>
      <w:tblGrid>
        <w:gridCol w:w="9360"/>
      </w:tblGrid>
      <w:tr>
        <w:tc>
          <w:tcPr>
            <w:tcW w:type="dxa" w:w="9360"/>
            <w:shd w:fill="FEF3C7" w:color="auto" w:val="clear"/>
            <w:tcMar>
              <w:top w:type="dxa" w:w="160"/>
              <w:left w:type="dxa" w:w="200"/>
              <w:bottom w:type="dxa" w:w="160"/>
              <w:right w:type="dxa" w:w="200"/>
            </w:tcMar>
          </w:tcPr>
          <w:p>
            <w:pPr>
              <w:spacing w:after="100"/>
            </w:pPr>
            <w:r>
              <w:rPr>
                <w:rFonts w:ascii="Calibri" w:cs="Calibri" w:eastAsia="Calibri" w:hAnsi="Calibri"/>
                <w:b/>
                <w:bCs/>
                <w:color w:val="334155"/>
                <w:sz w:val="22"/>
                <w:szCs w:val="22"/>
              </w:rPr>
              <w:t xml:space="preserve">Thank you</w:t>
            </w:r>
          </w:p>
          <w:p>
            <w:pPr>
              <w:spacing w:after="0"/>
            </w:pPr>
            <w:r>
              <w:rPr>
                <w:rFonts w:ascii="Calibri" w:cs="Calibri" w:eastAsia="Calibri" w:hAnsi="Calibri"/>
                <w:sz w:val="22"/>
                <w:szCs w:val="22"/>
              </w:rPr>
              <w:t xml:space="preserve">Thank you for taking the time to review this demonstration. Questions and feedback during the evaluation period are welcome and should be directed to the Jana Earth Data team.</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rPr>
        <w:rFonts w:ascii="Calibri" w:cs="Calibri" w:eastAsia="Calibri" w:hAnsi="Calibri"/>
        <w:color w:val="334155"/>
        <w:sz w:val="18"/>
        <w:szCs w:val="18"/>
      </w:rPr>
      <w:t xml:space="preserve">DEMO PURPOSES ONLY | Synthesized portfolio against real public reference data</w:t>
    </w:r>
    <w:r>
      <w:ptab w:alignment="right" w:relativeTo="margin" w:leader="none"/>
    </w:r>
    <w:r>
      <w:rPr>
        <w:rFonts w:ascii="Calibri" w:cs="Calibri" w:eastAsia="Calibri" w:hAnsi="Calibri"/>
        <w:color w:val="334155"/>
        <w:sz w:val="18"/>
        <w:szCs w:val="18"/>
      </w:rPr>
      <w:t xml:space="preserve">Page </w:t>
    </w:r>
    <w:r>
      <w:rPr>
        <w:rFonts w:ascii="Calibri" w:cs="Calibri" w:eastAsia="Calibri" w:hAnsi="Calibri"/>
        <w:color w:val="334155"/>
        <w:sz w:val="18"/>
        <w:szCs w:val="18"/>
      </w:rPr>
      <w:fldChar w:fldCharType="begin"/>
      <w:instrText xml:space="preserve">PAGE</w:instrText>
      <w:fldChar w:fldCharType="separate"/>
      <w:fldChar w:fldCharType="end"/>
    </w:r>
    <w:r>
      <w:rPr>
        <w:rFonts w:ascii="Calibri" w:cs="Calibri" w:eastAsia="Calibri" w:hAnsi="Calibri"/>
        <w:color w:val="334155"/>
        <w:sz w:val="18"/>
        <w:szCs w:val="18"/>
      </w:rPr>
      <w:t xml:space="preserve"> | November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Calibri" w:cs="Calibri" w:eastAsia="Calibri" w:hAnsi="Calibri"/>
        <w:color w:val="334155"/>
        <w:sz w:val="18"/>
        <w:szCs w:val="18"/>
      </w:rPr>
      <w:t xml:space="preserve">Financed Emissions Dashboard | Demonstration Build</w:t>
    </w:r>
    <w:r>
      <w:ptab w:alignment="right" w:relativeTo="margin" w:leader="none"/>
    </w:r>
    <w:r>
      <w:rPr>
        <w:rFonts w:ascii="Calibri" w:cs="Calibri" w:eastAsia="Calibri" w:hAnsi="Calibri"/>
        <w:color w:val="334155"/>
        <w:sz w:val="18"/>
        <w:szCs w:val="18"/>
      </w:rPr>
      <w:t xml:space="preserve">User's Manual | v0.2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Financed Emissions Dashboard User's Manual v0.2</dc:title>
  <dc:creator>Jana Earth Data</dc:creator>
  <dc:description>v0.2 draft for review</dc:description>
  <cp:lastModifiedBy>Un-named</cp:lastModifiedBy>
  <cp:revision>1</cp:revision>
  <dcterms:created xsi:type="dcterms:W3CDTF">2026-08-03T06:51:19.449Z</dcterms:created>
  <dcterms:modified xsi:type="dcterms:W3CDTF">2026-08-03T06:51:19.452Z</dcterms:modified>
</cp:coreProperties>
</file>

<file path=docProps/custom.xml><?xml version="1.0" encoding="utf-8"?>
<Properties xmlns="http://schemas.openxmlformats.org/officeDocument/2006/custom-properties" xmlns:vt="http://schemas.openxmlformats.org/officeDocument/2006/docPropsVTypes"/>
</file>