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9A97" w14:textId="77777777" w:rsidR="00B07559" w:rsidRDefault="00000000">
      <w:pPr>
        <w:pStyle w:val="Heading1"/>
      </w:pPr>
      <w:r>
        <w:t>Section 1 — Noise Identification</w:t>
      </w:r>
    </w:p>
    <w:p w14:paraId="49F88A71" w14:textId="77777777" w:rsidR="00B07559" w:rsidRDefault="00000000">
      <w:pPr>
        <w:spacing w:after="100"/>
      </w:pPr>
      <w:r>
        <w:rPr>
          <w:color w:val="000000"/>
        </w:rPr>
        <w:t>Each image was visually inspected to determine the likely noise type based on its spatial characteristics.</w:t>
      </w:r>
    </w:p>
    <w:p w14:paraId="5EE3E6FE" w14:textId="77777777" w:rsidR="00B07559" w:rsidRDefault="00B07559">
      <w:pPr>
        <w:spacing w:after="80"/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1200"/>
        <w:gridCol w:w="1800"/>
        <w:gridCol w:w="6360"/>
      </w:tblGrid>
      <w:tr w:rsidR="00B07559" w14:paraId="21BD0FA7" w14:textId="77777777" w:rsidTr="00EC67F9">
        <w:tc>
          <w:tcPr>
            <w:tcW w:w="1200" w:type="dxa"/>
            <w:shd w:val="clear" w:color="auto" w:fill="DAE9F7" w:themeFill="text2" w:themeFillTint="1A"/>
          </w:tcPr>
          <w:p w14:paraId="68218539" w14:textId="77777777" w:rsidR="00B07559" w:rsidRPr="00EC67F9" w:rsidRDefault="00000000">
            <w:pPr>
              <w:jc w:val="center"/>
            </w:pPr>
            <w:r w:rsidRPr="00EC67F9">
              <w:rPr>
                <w:b/>
                <w:bCs/>
                <w:sz w:val="20"/>
                <w:szCs w:val="20"/>
              </w:rPr>
              <w:t>Image</w:t>
            </w:r>
          </w:p>
        </w:tc>
        <w:tc>
          <w:tcPr>
            <w:tcW w:w="1800" w:type="dxa"/>
            <w:shd w:val="clear" w:color="auto" w:fill="DAE9F7" w:themeFill="text2" w:themeFillTint="1A"/>
          </w:tcPr>
          <w:p w14:paraId="6900CB93" w14:textId="77777777" w:rsidR="00B07559" w:rsidRPr="00EC67F9" w:rsidRDefault="00000000">
            <w:pPr>
              <w:jc w:val="center"/>
            </w:pPr>
            <w:r w:rsidRPr="00EC67F9">
              <w:rPr>
                <w:b/>
                <w:bCs/>
                <w:sz w:val="20"/>
                <w:szCs w:val="20"/>
              </w:rPr>
              <w:t>Noise Type</w:t>
            </w:r>
          </w:p>
        </w:tc>
        <w:tc>
          <w:tcPr>
            <w:tcW w:w="6360" w:type="dxa"/>
            <w:shd w:val="clear" w:color="auto" w:fill="DAE9F7" w:themeFill="text2" w:themeFillTint="1A"/>
          </w:tcPr>
          <w:p w14:paraId="5E8EA782" w14:textId="77777777" w:rsidR="00B07559" w:rsidRPr="00EC67F9" w:rsidRDefault="00000000">
            <w:pPr>
              <w:jc w:val="center"/>
            </w:pPr>
            <w:r w:rsidRPr="00EC67F9"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B07559" w14:paraId="3BFA1033" w14:textId="77777777" w:rsidTr="00EC67F9">
        <w:tc>
          <w:tcPr>
            <w:tcW w:w="1200" w:type="dxa"/>
          </w:tcPr>
          <w:p w14:paraId="6D0E42F2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camera</w:t>
            </w:r>
          </w:p>
        </w:tc>
        <w:tc>
          <w:tcPr>
            <w:tcW w:w="1800" w:type="dxa"/>
          </w:tcPr>
          <w:p w14:paraId="572B307A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Gaussian</w:t>
            </w:r>
          </w:p>
        </w:tc>
        <w:tc>
          <w:tcPr>
            <w:tcW w:w="6360" w:type="dxa"/>
          </w:tcPr>
          <w:p w14:paraId="2EEFAE2F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Smooth, continuous fine-grained variation uniformly distributed across all intensities. No isolated outliers.</w:t>
            </w:r>
          </w:p>
        </w:tc>
      </w:tr>
      <w:tr w:rsidR="00B07559" w14:paraId="46C036F9" w14:textId="77777777" w:rsidTr="00EC67F9">
        <w:tc>
          <w:tcPr>
            <w:tcW w:w="1200" w:type="dxa"/>
          </w:tcPr>
          <w:p w14:paraId="034C472D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coins</w:t>
            </w:r>
          </w:p>
        </w:tc>
        <w:tc>
          <w:tcPr>
            <w:tcW w:w="1800" w:type="dxa"/>
          </w:tcPr>
          <w:p w14:paraId="20534A3D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Salt-and-Pepper</w:t>
            </w:r>
          </w:p>
        </w:tc>
        <w:tc>
          <w:tcPr>
            <w:tcW w:w="6360" w:type="dxa"/>
          </w:tcPr>
          <w:p w14:paraId="3653C52E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Scattered isolated bright and dark pixels against a dark background. Classic impulsive outlier pattern.</w:t>
            </w:r>
          </w:p>
        </w:tc>
      </w:tr>
      <w:tr w:rsidR="00B07559" w14:paraId="35630AC8" w14:textId="77777777" w:rsidTr="00EC67F9">
        <w:tc>
          <w:tcPr>
            <w:tcW w:w="1200" w:type="dxa"/>
          </w:tcPr>
          <w:p w14:paraId="5709D050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800" w:type="dxa"/>
          </w:tcPr>
          <w:p w14:paraId="2E896F72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Salt-and-Pepper</w:t>
            </w:r>
          </w:p>
        </w:tc>
        <w:tc>
          <w:tcPr>
            <w:tcW w:w="6360" w:type="dxa"/>
          </w:tcPr>
          <w:p w14:paraId="69852ED8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Dense random white/black </w:t>
            </w:r>
            <w:proofErr w:type="gramStart"/>
            <w:r>
              <w:rPr>
                <w:color w:val="000000"/>
                <w:sz w:val="20"/>
                <w:szCs w:val="20"/>
              </w:rPr>
              <w:t>speckle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overlaid on handwriting. Extreme pixel values with no spatial correlation.</w:t>
            </w:r>
          </w:p>
        </w:tc>
      </w:tr>
      <w:tr w:rsidR="00B07559" w14:paraId="341A566A" w14:textId="77777777" w:rsidTr="00EC67F9">
        <w:tc>
          <w:tcPr>
            <w:tcW w:w="1200" w:type="dxa"/>
          </w:tcPr>
          <w:p w14:paraId="33A16D3A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rice</w:t>
            </w:r>
          </w:p>
        </w:tc>
        <w:tc>
          <w:tcPr>
            <w:tcW w:w="1800" w:type="dxa"/>
          </w:tcPr>
          <w:p w14:paraId="52E82A5A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Speckle</w:t>
            </w:r>
          </w:p>
        </w:tc>
        <w:tc>
          <w:tcPr>
            <w:tcW w:w="6360" w:type="dxa"/>
          </w:tcPr>
          <w:p w14:paraId="2FADA832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Granular multiplicative </w:t>
            </w:r>
            <w:proofErr w:type="gramStart"/>
            <w:r>
              <w:rPr>
                <w:color w:val="000000"/>
                <w:sz w:val="20"/>
                <w:szCs w:val="20"/>
              </w:rPr>
              <w:t>noise;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brighter grain regions are more severely affected than the dark background.</w:t>
            </w:r>
          </w:p>
        </w:tc>
      </w:tr>
      <w:tr w:rsidR="00B07559" w14:paraId="0EB44728" w14:textId="77777777" w:rsidTr="00EC67F9">
        <w:tc>
          <w:tcPr>
            <w:tcW w:w="1200" w:type="dxa"/>
          </w:tcPr>
          <w:p w14:paraId="7171E896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astronaut</w:t>
            </w:r>
          </w:p>
        </w:tc>
        <w:tc>
          <w:tcPr>
            <w:tcW w:w="1800" w:type="dxa"/>
          </w:tcPr>
          <w:p w14:paraId="39F4B8A8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Gaussian</w:t>
            </w:r>
          </w:p>
        </w:tc>
        <w:tc>
          <w:tcPr>
            <w:tcW w:w="6360" w:type="dxa"/>
          </w:tcPr>
          <w:p w14:paraId="7C5CC9BD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Fine uniform random perturbation across all RGB channels. No impulsive outliers or multiplicative structure.</w:t>
            </w:r>
          </w:p>
        </w:tc>
      </w:tr>
    </w:tbl>
    <w:p w14:paraId="351A87CC" w14:textId="77777777" w:rsidR="00B07559" w:rsidRDefault="00B07559">
      <w:pPr>
        <w:spacing w:after="80"/>
      </w:pPr>
    </w:p>
    <w:p w14:paraId="6C04BDB3" w14:textId="3010D838" w:rsidR="00B07559" w:rsidRDefault="00000000" w:rsidP="00EC67F9">
      <w:r>
        <w:rPr>
          <w:b/>
          <w:bCs/>
          <w:color w:val="1F4E79"/>
          <w:sz w:val="28"/>
          <w:szCs w:val="28"/>
        </w:rPr>
        <w:t>Section 2 — Method Selection</w:t>
      </w:r>
    </w:p>
    <w:p w14:paraId="0CEE59D7" w14:textId="77777777" w:rsidR="00B07559" w:rsidRDefault="00000000">
      <w:pPr>
        <w:pStyle w:val="Heading2"/>
      </w:pPr>
      <w:r>
        <w:t>Method 1: Spatial Domain — Median Filtering</w:t>
      </w:r>
    </w:p>
    <w:p w14:paraId="2EF95078" w14:textId="6BCB309A" w:rsidR="00B07559" w:rsidRDefault="00000000">
      <w:pPr>
        <w:spacing w:after="100"/>
      </w:pPr>
      <w:r>
        <w:rPr>
          <w:color w:val="000000"/>
        </w:rPr>
        <w:t xml:space="preserve">Median filtering replaces each pixel with the median value of its local </w:t>
      </w:r>
      <w:r w:rsidR="00EC67F9">
        <w:rPr>
          <w:color w:val="000000"/>
        </w:rPr>
        <w:t>neighborhood</w:t>
      </w:r>
      <w:r>
        <w:rPr>
          <w:color w:val="000000"/>
        </w:rPr>
        <w:t>. It was selected because:</w:t>
      </w:r>
    </w:p>
    <w:p w14:paraId="2D90CA63" w14:textId="0A48D734" w:rsidR="00B075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Robust to outliers: The median </w:t>
      </w:r>
      <w:r w:rsidR="00EC67F9">
        <w:t>statistics ignore</w:t>
      </w:r>
      <w:r>
        <w:t xml:space="preserve"> extreme salt-and-pepper pixels, making it the most effective single method against impulsive noise.</w:t>
      </w:r>
    </w:p>
    <w:p w14:paraId="26B0F3AF" w14:textId="42309040" w:rsidR="00B075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Edge-preserving: Unlike mean or Gaussian filters, it selects an actual pixel value from the </w:t>
      </w:r>
      <w:r w:rsidR="00EC67F9">
        <w:t>neighborhood</w:t>
      </w:r>
      <w:r>
        <w:t>, preserving sharp boundaries.</w:t>
      </w:r>
    </w:p>
    <w:p w14:paraId="6D81517F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>General-purpose: Also reduces Gaussian and speckle noise effectively, making it suitable across all noise types in this dataset.</w:t>
      </w:r>
    </w:p>
    <w:p w14:paraId="15205593" w14:textId="77777777" w:rsidR="00B07559" w:rsidRDefault="00B07559">
      <w:pPr>
        <w:spacing w:after="80"/>
      </w:pPr>
    </w:p>
    <w:p w14:paraId="147F9330" w14:textId="77777777" w:rsidR="00B07559" w:rsidRDefault="00000000">
      <w:pPr>
        <w:pStyle w:val="Heading2"/>
      </w:pPr>
      <w:r>
        <w:t>Method 2: Frequency Domain — Gaussian Low-Pass Filter</w:t>
      </w:r>
    </w:p>
    <w:p w14:paraId="7D3E6769" w14:textId="77777777" w:rsidR="00B07559" w:rsidRDefault="00000000">
      <w:pPr>
        <w:spacing w:after="100"/>
      </w:pPr>
      <w:r>
        <w:rPr>
          <w:color w:val="000000"/>
        </w:rPr>
        <w:t>Noise typically occupies high-frequency components of the Fourier spectrum. The Gaussian LPF attenuates these while preserving low-frequency structure. Implementation steps:</w:t>
      </w:r>
    </w:p>
    <w:p w14:paraId="5E121237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>Step 1 — Apply 2D Fourier Transform (</w:t>
      </w:r>
      <w:proofErr w:type="gramStart"/>
      <w:r>
        <w:t>np.fft.fft</w:t>
      </w:r>
      <w:proofErr w:type="gramEnd"/>
      <w:r>
        <w:t>2) to convert to frequency domain.</w:t>
      </w:r>
    </w:p>
    <w:p w14:paraId="7651B78C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2 — Shift zero-frequency to </w:t>
      </w:r>
      <w:proofErr w:type="spellStart"/>
      <w:r>
        <w:t>centre</w:t>
      </w:r>
      <w:proofErr w:type="spellEnd"/>
      <w:r>
        <w:t xml:space="preserve"> (</w:t>
      </w:r>
      <w:proofErr w:type="spellStart"/>
      <w:proofErr w:type="gramStart"/>
      <w:r>
        <w:t>np.fft.fftshift</w:t>
      </w:r>
      <w:proofErr w:type="spellEnd"/>
      <w:proofErr w:type="gramEnd"/>
      <w:r>
        <w:t>).</w:t>
      </w:r>
    </w:p>
    <w:p w14:paraId="37FB6175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>Step 3 — Construct Gaussian filter: H(</w:t>
      </w:r>
      <w:proofErr w:type="spellStart"/>
      <w:proofErr w:type="gramStart"/>
      <w:r>
        <w:t>u,v</w:t>
      </w:r>
      <w:proofErr w:type="spellEnd"/>
      <w:proofErr w:type="gramEnd"/>
      <w:r>
        <w:t xml:space="preserve">) = </w:t>
      </w:r>
      <w:proofErr w:type="gramStart"/>
      <w:r>
        <w:t>exp(</w:t>
      </w:r>
      <w:proofErr w:type="gramEnd"/>
      <w:r>
        <w:t>-(u²+v²) / 2σ²), where σ is the cutoff parameter.</w:t>
      </w:r>
    </w:p>
    <w:p w14:paraId="41D6990D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Step 4 — Multiply spectrum by H </w:t>
      </w:r>
      <w:proofErr w:type="gramStart"/>
      <w:r>
        <w:t>element-wise</w:t>
      </w:r>
      <w:proofErr w:type="gramEnd"/>
      <w:r>
        <w:t xml:space="preserve"> to suppress high frequencies.</w:t>
      </w:r>
    </w:p>
    <w:p w14:paraId="60BA4F81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>Step 5 — Inverse shift and apply IFFT (</w:t>
      </w:r>
      <w:proofErr w:type="gramStart"/>
      <w:r>
        <w:t>np.fft.ifft</w:t>
      </w:r>
      <w:proofErr w:type="gramEnd"/>
      <w:r>
        <w:t>2). Take real part, clip to [0, 255].</w:t>
      </w:r>
    </w:p>
    <w:p w14:paraId="6688E226" w14:textId="77777777" w:rsidR="00B07559" w:rsidRDefault="00B07559">
      <w:pPr>
        <w:spacing w:after="80"/>
      </w:pPr>
    </w:p>
    <w:p w14:paraId="2C58C74A" w14:textId="77777777" w:rsidR="00B07559" w:rsidRDefault="00000000">
      <w:r>
        <w:br w:type="page"/>
      </w:r>
    </w:p>
    <w:p w14:paraId="64E2228B" w14:textId="77777777" w:rsidR="00B07559" w:rsidRDefault="00000000">
      <w:pPr>
        <w:pStyle w:val="Heading1"/>
      </w:pPr>
      <w:r>
        <w:lastRenderedPageBreak/>
        <w:t>Section 3 — PSNR and SSIM Explanation</w:t>
      </w:r>
    </w:p>
    <w:p w14:paraId="52542555" w14:textId="77777777" w:rsidR="00B07559" w:rsidRDefault="00000000">
      <w:pPr>
        <w:pStyle w:val="Heading2"/>
      </w:pPr>
      <w:r>
        <w:t>PSNR — Peak Signal-to-Noise Ratio</w:t>
      </w:r>
    </w:p>
    <w:p w14:paraId="01290ADE" w14:textId="77777777" w:rsidR="00B07559" w:rsidRDefault="00000000">
      <w:pPr>
        <w:spacing w:after="100"/>
      </w:pPr>
      <w:r>
        <w:rPr>
          <w:color w:val="000000"/>
        </w:rPr>
        <w:t>PSNR measures the ratio of the maximum possible pixel value to the Mean Squared Error (MSE) between the clean and denoised image:</w:t>
      </w:r>
    </w:p>
    <w:p w14:paraId="1E92AA16" w14:textId="77777777" w:rsidR="00B07559" w:rsidRDefault="00000000">
      <w:pPr>
        <w:spacing w:after="100"/>
        <w:jc w:val="center"/>
      </w:pPr>
      <w:r>
        <w:rPr>
          <w:b/>
          <w:bCs/>
          <w:color w:val="000000"/>
        </w:rPr>
        <w:t>PSNR = 10 × log₁₀ (255² / MSE)</w:t>
      </w:r>
    </w:p>
    <w:p w14:paraId="7B93D3C0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>Higher PSNR → lower MSE → less pixel-level distortion → better quality.</w:t>
      </w:r>
    </w:p>
    <w:p w14:paraId="712F5635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>Values above 30 dB are generally considered good; above 40 dB is excellent.</w:t>
      </w:r>
    </w:p>
    <w:p w14:paraId="400B359A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>PSNR is easy to compute but does not fully model human visual perception.</w:t>
      </w:r>
    </w:p>
    <w:p w14:paraId="091422A6" w14:textId="77777777" w:rsidR="00B07559" w:rsidRDefault="00B07559">
      <w:pPr>
        <w:spacing w:after="80"/>
      </w:pPr>
    </w:p>
    <w:p w14:paraId="6481FBA4" w14:textId="77777777" w:rsidR="00B07559" w:rsidRDefault="00000000">
      <w:pPr>
        <w:pStyle w:val="Heading2"/>
      </w:pPr>
      <w:r>
        <w:t>SSIM — Structural Similarity Index</w:t>
      </w:r>
    </w:p>
    <w:p w14:paraId="699FAB67" w14:textId="77777777" w:rsidR="00B07559" w:rsidRDefault="00000000">
      <w:pPr>
        <w:spacing w:after="100"/>
      </w:pPr>
      <w:r>
        <w:rPr>
          <w:color w:val="000000"/>
        </w:rPr>
        <w:t>SSIM compares luminance, contrast, and structural patterns between two images. Values range from 0 to 1.</w:t>
      </w:r>
    </w:p>
    <w:p w14:paraId="2D7F6CAE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>Higher SSIM (closer to 1.0) → greater perceptual and structural similarity → better denoising.</w:t>
      </w:r>
    </w:p>
    <w:p w14:paraId="0C791606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>More aligned with human visual perception than PSNR alone.</w:t>
      </w:r>
    </w:p>
    <w:p w14:paraId="1C4E8A3F" w14:textId="77777777" w:rsidR="00B07559" w:rsidRDefault="00000000">
      <w:pPr>
        <w:pStyle w:val="ListParagraph"/>
        <w:numPr>
          <w:ilvl w:val="0"/>
          <w:numId w:val="2"/>
        </w:numPr>
        <w:spacing w:after="60"/>
      </w:pPr>
      <w:r>
        <w:t>Both metrics together give a comprehensive evaluation of denoising quality.</w:t>
      </w:r>
    </w:p>
    <w:p w14:paraId="0C1A50DB" w14:textId="77777777" w:rsidR="00B07559" w:rsidRDefault="00B07559">
      <w:pPr>
        <w:spacing w:after="80"/>
      </w:pPr>
    </w:p>
    <w:p w14:paraId="5B4D5D96" w14:textId="3E29C876" w:rsidR="00B07559" w:rsidRDefault="00000000" w:rsidP="00EC67F9">
      <w:r>
        <w:rPr>
          <w:b/>
          <w:bCs/>
          <w:color w:val="1F4E79"/>
          <w:sz w:val="28"/>
          <w:szCs w:val="28"/>
        </w:rPr>
        <w:t>Section 4 — Results Table</w:t>
      </w:r>
    </w:p>
    <w:p w14:paraId="420C1FCE" w14:textId="77777777" w:rsidR="00B07559" w:rsidRDefault="00000000">
      <w:pPr>
        <w:spacing w:after="100"/>
      </w:pPr>
      <w:r>
        <w:rPr>
          <w:color w:val="000000"/>
        </w:rPr>
        <w:t>Three parameter values were tested per method; the best (by SSIM) is reported.</w:t>
      </w:r>
    </w:p>
    <w:p w14:paraId="2F01755C" w14:textId="77777777" w:rsidR="00EC67F9" w:rsidRDefault="00000000">
      <w:pPr>
        <w:spacing w:after="100"/>
        <w:rPr>
          <w:b/>
          <w:bCs/>
          <w:color w:val="000000"/>
        </w:rPr>
      </w:pPr>
      <w:r>
        <w:rPr>
          <w:b/>
          <w:bCs/>
          <w:color w:val="000000"/>
        </w:rPr>
        <w:t xml:space="preserve">Spatial: kernel sizes 3×3, 5×5, 7×7  </w:t>
      </w:r>
    </w:p>
    <w:p w14:paraId="662CF348" w14:textId="66001E57" w:rsidR="00B07559" w:rsidRDefault="00000000">
      <w:pPr>
        <w:spacing w:after="100"/>
      </w:pPr>
      <w:r>
        <w:rPr>
          <w:b/>
          <w:bCs/>
          <w:color w:val="000000"/>
        </w:rPr>
        <w:t>Frequency: cutoff σ = 20, 40, 80</w:t>
      </w:r>
    </w:p>
    <w:p w14:paraId="657DFC01" w14:textId="77777777" w:rsidR="00B07559" w:rsidRDefault="00B07559">
      <w:pPr>
        <w:spacing w:after="8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100"/>
        <w:gridCol w:w="1000"/>
        <w:gridCol w:w="1600"/>
        <w:gridCol w:w="1100"/>
        <w:gridCol w:w="1000"/>
      </w:tblGrid>
      <w:tr w:rsidR="00B07559" w14:paraId="2E897AE7" w14:textId="77777777" w:rsidTr="00EC67F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DAE9F7" w:themeFill="text2" w:themeFillTint="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98CF4" w14:textId="77777777" w:rsidR="00B07559" w:rsidRPr="00EC67F9" w:rsidRDefault="00000000">
            <w:pPr>
              <w:jc w:val="center"/>
            </w:pPr>
            <w:r w:rsidRPr="00EC67F9">
              <w:rPr>
                <w:b/>
                <w:bCs/>
                <w:sz w:val="20"/>
                <w:szCs w:val="20"/>
              </w:rPr>
              <w:t>Image</w:t>
            </w:r>
          </w:p>
        </w:tc>
        <w:tc>
          <w:tcPr>
            <w:tcW w:w="16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DAE9F7" w:themeFill="text2" w:themeFillTint="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13746" w14:textId="77777777" w:rsidR="00B07559" w:rsidRPr="00EC67F9" w:rsidRDefault="00000000">
            <w:pPr>
              <w:jc w:val="center"/>
            </w:pPr>
            <w:r w:rsidRPr="00EC67F9">
              <w:rPr>
                <w:b/>
                <w:bCs/>
                <w:sz w:val="20"/>
                <w:szCs w:val="20"/>
              </w:rPr>
              <w:t>Spatial Method</w:t>
            </w:r>
          </w:p>
        </w:tc>
        <w:tc>
          <w:tcPr>
            <w:tcW w:w="11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DAE9F7" w:themeFill="text2" w:themeFillTint="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2289C" w14:textId="77777777" w:rsidR="00B07559" w:rsidRPr="00EC67F9" w:rsidRDefault="00000000">
            <w:pPr>
              <w:jc w:val="center"/>
            </w:pPr>
            <w:r w:rsidRPr="00EC67F9">
              <w:rPr>
                <w:b/>
                <w:bCs/>
                <w:sz w:val="20"/>
                <w:szCs w:val="20"/>
              </w:rPr>
              <w:t>PSNR (dB)</w:t>
            </w:r>
          </w:p>
        </w:tc>
        <w:tc>
          <w:tcPr>
            <w:tcW w:w="10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DAE9F7" w:themeFill="text2" w:themeFillTint="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CBAA5" w14:textId="77777777" w:rsidR="00B07559" w:rsidRPr="00EC67F9" w:rsidRDefault="00000000">
            <w:pPr>
              <w:jc w:val="center"/>
            </w:pPr>
            <w:r w:rsidRPr="00EC67F9">
              <w:rPr>
                <w:b/>
                <w:bCs/>
                <w:sz w:val="20"/>
                <w:szCs w:val="20"/>
              </w:rPr>
              <w:t>SSIM</w:t>
            </w:r>
          </w:p>
        </w:tc>
        <w:tc>
          <w:tcPr>
            <w:tcW w:w="16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DAE9F7" w:themeFill="text2" w:themeFillTint="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11AD7" w14:textId="77777777" w:rsidR="00B07559" w:rsidRPr="00EC67F9" w:rsidRDefault="00000000">
            <w:pPr>
              <w:jc w:val="center"/>
            </w:pPr>
            <w:r w:rsidRPr="00EC67F9">
              <w:rPr>
                <w:b/>
                <w:bCs/>
                <w:sz w:val="20"/>
                <w:szCs w:val="20"/>
              </w:rPr>
              <w:t>Freq Method</w:t>
            </w:r>
          </w:p>
        </w:tc>
        <w:tc>
          <w:tcPr>
            <w:tcW w:w="11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DAE9F7" w:themeFill="text2" w:themeFillTint="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F8E35" w14:textId="77777777" w:rsidR="00B07559" w:rsidRPr="00EC67F9" w:rsidRDefault="00000000">
            <w:pPr>
              <w:jc w:val="center"/>
            </w:pPr>
            <w:r w:rsidRPr="00EC67F9">
              <w:rPr>
                <w:b/>
                <w:bCs/>
                <w:sz w:val="20"/>
                <w:szCs w:val="20"/>
              </w:rPr>
              <w:t>PSNR (dB)</w:t>
            </w:r>
          </w:p>
        </w:tc>
        <w:tc>
          <w:tcPr>
            <w:tcW w:w="1000" w:type="dxa"/>
            <w:tcBorders>
              <w:top w:val="single" w:sz="3" w:space="0" w:color="1F4E79"/>
              <w:left w:val="single" w:sz="3" w:space="0" w:color="1F4E79"/>
              <w:bottom w:val="single" w:sz="3" w:space="0" w:color="1F4E79"/>
              <w:right w:val="single" w:sz="3" w:space="0" w:color="1F4E79"/>
            </w:tcBorders>
            <w:shd w:val="clear" w:color="auto" w:fill="DAE9F7" w:themeFill="text2" w:themeFillTint="1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F7ADE" w14:textId="77777777" w:rsidR="00B07559" w:rsidRPr="00EC67F9" w:rsidRDefault="00000000">
            <w:pPr>
              <w:jc w:val="center"/>
            </w:pPr>
            <w:r w:rsidRPr="00EC67F9">
              <w:rPr>
                <w:b/>
                <w:bCs/>
                <w:sz w:val="20"/>
                <w:szCs w:val="20"/>
              </w:rPr>
              <w:t>SSIM</w:t>
            </w:r>
          </w:p>
        </w:tc>
      </w:tr>
      <w:tr w:rsidR="00B07559" w14:paraId="4935A0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CCB41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camera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E6691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Median k=5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17628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25.34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EC030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0.6416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FBB3E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Gaussian σ=80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F1024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24.91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0E05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0.6848</w:t>
            </w:r>
          </w:p>
        </w:tc>
      </w:tr>
      <w:tr w:rsidR="00B07559" w14:paraId="0D7B8F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ECBB3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coins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95BC2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Median k=3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1F120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27.79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C35AF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0.8245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46B57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Gaussian σ=40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6D09A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23.40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DA8A5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0.5770</w:t>
            </w:r>
          </w:p>
        </w:tc>
      </w:tr>
      <w:tr w:rsidR="00B07559" w14:paraId="5AB0DD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82E05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A5666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Median k=3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16610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31.30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559F0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0.8710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83C22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Gaussian σ=40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7A610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25.62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A991E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0.6570</w:t>
            </w:r>
          </w:p>
        </w:tc>
      </w:tr>
      <w:tr w:rsidR="00B07559" w14:paraId="3B3ADB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05944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rice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D66E3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Median k=5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0DC7E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23.30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7B94C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0.5633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C6530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Gaussian σ=80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2AE58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24.10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71985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0.6161</w:t>
            </w:r>
          </w:p>
        </w:tc>
      </w:tr>
      <w:tr w:rsidR="00B07559" w14:paraId="110F8E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51B45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astronaut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41B08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Median k=5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DCA22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25.12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07E73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0.7398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FE49B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Gaussian σ=80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1FE8D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23.79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F44D0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0.6882</w:t>
            </w:r>
          </w:p>
        </w:tc>
      </w:tr>
      <w:tr w:rsidR="00B07559" w14:paraId="2F56F3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820F9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5AB0D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FED36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26.57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C0223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0.7280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AEA88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439F3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24.36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FF141" w14:textId="77777777" w:rsidR="00B0755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0.6446</w:t>
            </w:r>
          </w:p>
        </w:tc>
      </w:tr>
    </w:tbl>
    <w:p w14:paraId="35BADCE9" w14:textId="77777777" w:rsidR="00B07559" w:rsidRDefault="00B07559">
      <w:pPr>
        <w:spacing w:after="80"/>
      </w:pPr>
    </w:p>
    <w:p w14:paraId="5CB9A3E5" w14:textId="77777777" w:rsidR="00B07559" w:rsidRDefault="00000000">
      <w:r>
        <w:br w:type="page"/>
      </w:r>
    </w:p>
    <w:p w14:paraId="58D16C72" w14:textId="77777777" w:rsidR="00B07559" w:rsidRDefault="00000000">
      <w:pPr>
        <w:pStyle w:val="Heading1"/>
      </w:pPr>
      <w:r>
        <w:lastRenderedPageBreak/>
        <w:t>Section 5 — Visual Results</w:t>
      </w:r>
    </w:p>
    <w:p w14:paraId="7FD93D6E" w14:textId="6620DFAD" w:rsidR="00B07559" w:rsidRDefault="00EC67F9">
      <w:pPr>
        <w:spacing w:after="80"/>
      </w:pPr>
      <w:r w:rsidRPr="00EC67F9">
        <w:drawing>
          <wp:inline distT="0" distB="0" distL="0" distR="0" wp14:anchorId="1D6124DD" wp14:editId="4BBFE446">
            <wp:extent cx="6400800" cy="1664335"/>
            <wp:effectExtent l="0" t="0" r="0" b="0"/>
            <wp:docPr id="58089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96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7F9">
        <w:rPr>
          <w:noProof/>
        </w:rPr>
        <w:t xml:space="preserve"> </w:t>
      </w:r>
      <w:r w:rsidRPr="00EC67F9">
        <w:drawing>
          <wp:inline distT="0" distB="0" distL="0" distR="0" wp14:anchorId="4E3BF955" wp14:editId="07CA2531">
            <wp:extent cx="6400800" cy="1522730"/>
            <wp:effectExtent l="0" t="0" r="0" b="1270"/>
            <wp:docPr id="46237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76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7F9">
        <w:rPr>
          <w:noProof/>
        </w:rPr>
        <w:t xml:space="preserve"> </w:t>
      </w:r>
      <w:r w:rsidRPr="00EC67F9">
        <w:rPr>
          <w:noProof/>
        </w:rPr>
        <w:drawing>
          <wp:inline distT="0" distB="0" distL="0" distR="0" wp14:anchorId="7FF23DC7" wp14:editId="1C9F70ED">
            <wp:extent cx="6400800" cy="1212215"/>
            <wp:effectExtent l="0" t="0" r="0" b="6985"/>
            <wp:docPr id="189880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3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7F9">
        <w:rPr>
          <w:noProof/>
        </w:rPr>
        <w:t xml:space="preserve"> </w:t>
      </w:r>
      <w:r w:rsidRPr="00EC67F9">
        <w:rPr>
          <w:noProof/>
        </w:rPr>
        <w:drawing>
          <wp:inline distT="0" distB="0" distL="0" distR="0" wp14:anchorId="4E50657F" wp14:editId="424076D9">
            <wp:extent cx="6400800" cy="1522730"/>
            <wp:effectExtent l="0" t="0" r="0" b="1270"/>
            <wp:docPr id="19110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33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7F9">
        <w:rPr>
          <w:noProof/>
        </w:rPr>
        <w:t xml:space="preserve"> </w:t>
      </w:r>
      <w:r w:rsidRPr="00EC67F9">
        <w:rPr>
          <w:noProof/>
        </w:rPr>
        <w:lastRenderedPageBreak/>
        <w:drawing>
          <wp:inline distT="0" distB="0" distL="0" distR="0" wp14:anchorId="07EEA9F5" wp14:editId="452D46DC">
            <wp:extent cx="6400800" cy="1664335"/>
            <wp:effectExtent l="0" t="0" r="0" b="0"/>
            <wp:docPr id="2882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3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7F9">
        <w:rPr>
          <w:noProof/>
        </w:rPr>
        <w:t xml:space="preserve"> </w:t>
      </w:r>
      <w:r w:rsidRPr="00EC67F9">
        <w:rPr>
          <w:noProof/>
        </w:rPr>
        <w:drawing>
          <wp:inline distT="0" distB="0" distL="0" distR="0" wp14:anchorId="2E2A2C3C" wp14:editId="23C5226B">
            <wp:extent cx="6400800" cy="2258060"/>
            <wp:effectExtent l="0" t="0" r="0" b="8890"/>
            <wp:docPr id="5508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52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5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2CF1"/>
    <w:multiLevelType w:val="hybridMultilevel"/>
    <w:tmpl w:val="CBF6154A"/>
    <w:lvl w:ilvl="0" w:tplc="186664DC">
      <w:start w:val="1"/>
      <w:numFmt w:val="bullet"/>
      <w:lvlText w:val="●"/>
      <w:lvlJc w:val="left"/>
      <w:pPr>
        <w:ind w:left="720" w:hanging="360"/>
      </w:pPr>
    </w:lvl>
    <w:lvl w:ilvl="1" w:tplc="B45A8C66">
      <w:start w:val="1"/>
      <w:numFmt w:val="bullet"/>
      <w:lvlText w:val="○"/>
      <w:lvlJc w:val="left"/>
      <w:pPr>
        <w:ind w:left="1440" w:hanging="360"/>
      </w:pPr>
    </w:lvl>
    <w:lvl w:ilvl="2" w:tplc="C322AB08">
      <w:start w:val="1"/>
      <w:numFmt w:val="bullet"/>
      <w:lvlText w:val="■"/>
      <w:lvlJc w:val="left"/>
      <w:pPr>
        <w:ind w:left="2160" w:hanging="360"/>
      </w:pPr>
    </w:lvl>
    <w:lvl w:ilvl="3" w:tplc="EE82B654">
      <w:start w:val="1"/>
      <w:numFmt w:val="bullet"/>
      <w:lvlText w:val="●"/>
      <w:lvlJc w:val="left"/>
      <w:pPr>
        <w:ind w:left="2880" w:hanging="360"/>
      </w:pPr>
    </w:lvl>
    <w:lvl w:ilvl="4" w:tplc="3E0A618C">
      <w:start w:val="1"/>
      <w:numFmt w:val="bullet"/>
      <w:lvlText w:val="○"/>
      <w:lvlJc w:val="left"/>
      <w:pPr>
        <w:ind w:left="3600" w:hanging="360"/>
      </w:pPr>
    </w:lvl>
    <w:lvl w:ilvl="5" w:tplc="C122BBF6">
      <w:start w:val="1"/>
      <w:numFmt w:val="bullet"/>
      <w:lvlText w:val="■"/>
      <w:lvlJc w:val="left"/>
      <w:pPr>
        <w:ind w:left="4320" w:hanging="360"/>
      </w:pPr>
    </w:lvl>
    <w:lvl w:ilvl="6" w:tplc="5748F72C">
      <w:start w:val="1"/>
      <w:numFmt w:val="bullet"/>
      <w:lvlText w:val="●"/>
      <w:lvlJc w:val="left"/>
      <w:pPr>
        <w:ind w:left="5040" w:hanging="360"/>
      </w:pPr>
    </w:lvl>
    <w:lvl w:ilvl="7" w:tplc="E08A8C02">
      <w:start w:val="1"/>
      <w:numFmt w:val="bullet"/>
      <w:lvlText w:val="●"/>
      <w:lvlJc w:val="left"/>
      <w:pPr>
        <w:ind w:left="5760" w:hanging="360"/>
      </w:pPr>
    </w:lvl>
    <w:lvl w:ilvl="8" w:tplc="A83CAE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87028A"/>
    <w:multiLevelType w:val="hybridMultilevel"/>
    <w:tmpl w:val="0E984F60"/>
    <w:lvl w:ilvl="0" w:tplc="887C9250">
      <w:start w:val="1"/>
      <w:numFmt w:val="bullet"/>
      <w:lvlText w:val="•"/>
      <w:lvlJc w:val="left"/>
      <w:pPr>
        <w:ind w:left="720" w:hanging="360"/>
      </w:pPr>
    </w:lvl>
    <w:lvl w:ilvl="1" w:tplc="6F569844">
      <w:numFmt w:val="decimal"/>
      <w:lvlText w:val=""/>
      <w:lvlJc w:val="left"/>
    </w:lvl>
    <w:lvl w:ilvl="2" w:tplc="F7A03D3E">
      <w:numFmt w:val="decimal"/>
      <w:lvlText w:val=""/>
      <w:lvlJc w:val="left"/>
    </w:lvl>
    <w:lvl w:ilvl="3" w:tplc="D3FA99DA">
      <w:numFmt w:val="decimal"/>
      <w:lvlText w:val=""/>
      <w:lvlJc w:val="left"/>
    </w:lvl>
    <w:lvl w:ilvl="4" w:tplc="A9A0DE08">
      <w:numFmt w:val="decimal"/>
      <w:lvlText w:val=""/>
      <w:lvlJc w:val="left"/>
    </w:lvl>
    <w:lvl w:ilvl="5" w:tplc="69FA031A">
      <w:numFmt w:val="decimal"/>
      <w:lvlText w:val=""/>
      <w:lvlJc w:val="left"/>
    </w:lvl>
    <w:lvl w:ilvl="6" w:tplc="6D68D024">
      <w:numFmt w:val="decimal"/>
      <w:lvlText w:val=""/>
      <w:lvlJc w:val="left"/>
    </w:lvl>
    <w:lvl w:ilvl="7" w:tplc="9898828A">
      <w:numFmt w:val="decimal"/>
      <w:lvlText w:val=""/>
      <w:lvlJc w:val="left"/>
    </w:lvl>
    <w:lvl w:ilvl="8" w:tplc="5C7A1872">
      <w:numFmt w:val="decimal"/>
      <w:lvlText w:val=""/>
      <w:lvlJc w:val="left"/>
    </w:lvl>
  </w:abstractNum>
  <w:num w:numId="1" w16cid:durableId="928275773">
    <w:abstractNumId w:val="0"/>
    <w:lvlOverride w:ilvl="0">
      <w:startOverride w:val="1"/>
    </w:lvlOverride>
  </w:num>
  <w:num w:numId="2" w16cid:durableId="6985520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559"/>
    <w:rsid w:val="00147AF5"/>
    <w:rsid w:val="00B07559"/>
    <w:rsid w:val="00EC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FD06"/>
  <w15:docId w15:val="{1C5B7120-9D9D-404C-BE61-7AA1D361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C67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جنا مصطفى الحميدان</cp:lastModifiedBy>
  <cp:revision>2</cp:revision>
  <dcterms:created xsi:type="dcterms:W3CDTF">2026-05-21T21:15:00Z</dcterms:created>
  <dcterms:modified xsi:type="dcterms:W3CDTF">2026-05-21T21:15:00Z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2026-05-21T21:15:31Z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be597cbf-4cf6-4563-b68f-a6fe6d47e3de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10, 3, 0, 1</vt:lpwstr>
  </property>
</Properties>
</file>