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System Organ Class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    </w:t>
            </w:r>
            <w:r>
              <w:rPr>
                <w:b w:val="true"/>
                <w:rFonts w:ascii="Calibri" w:hAnsi="Calibri"/>
                <w:sz w:val="20"/>
              </w:rPr>
              <w:t xml:space="preserve">Reported Term for the Adverse Event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High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Low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 Emergent AEs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DISORDERS AND ADMINISTRATION SITE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DERMATITIS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VESICLES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FATIGUE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 PERIPHERAL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MALAISE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PERSPIRATION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REACTION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DESQUAMATION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DISCOLOURATION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INDURATION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WARMTH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COLD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SECRETION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SUDDEN 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AND SUBCUTANEOUS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HYPERHIDROSIS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BLISTER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PRURITIC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 GENERALISED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ACTINIC KERATOSIS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ALOPECIA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COLD SWEAT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DERMATITIS CONTACT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DRUG ERUPTION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ERYTHEMATOUS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MACULO-PAPULAR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EXFOLIATION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ODOUR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NERVOUS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SOMNOLENCE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TRANSIENT ISCHAEMIC ATTACK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BURNING SENSATION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LETHARGY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BALANCE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COGNITIVE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COMPLEX PARTIAL SEIZURES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COORDINATION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HEMIANOPIA HOMONYMOUS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 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PARKINSON'S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PAROSMIA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 SEIZURES WITH SECONDARY GENERALISATION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PSYCHOMOTOR HYPERACTIVITY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STUPOR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 VASOVAGAL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VOMITING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SALIVARY HYPERSECRETION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DYSPEPSIA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FLATULENCE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GASTROINTESTINAL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GASTROOESOPHAGEAL REFLUX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GLOSSITIS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HIATUS HERNIA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RECTAL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STOMACH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FIRST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PALPITATIONS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SECOND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FAILURE CONGESTIVE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WOLFF-PARKINSON-WHITE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INFECTIONS AND INFESTATIONS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NASOPHARYNGITIS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INFLUENZA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BRONCHITIS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CERVICITIS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GASTROENTERITIS 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HORDEOLUM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LOCALISED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VAGINAL MYCOSIS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PSYCHIATRIC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CONFUSIONAL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IRRITABILITY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COMPLETED SUICIDE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DELIRIUM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DEPRESSED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DISORIENTATION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HALLUCINATION, VISUAL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LIBIDO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LISTLESS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NIGHTMARE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RESTLESSNESS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RESPIRATORY, THORACIC AND MEDIASTINAL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DYSPNOEA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EPISTAXIS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PHARYNGOLARYNGEAL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RHINORRHOEA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ALLERGIC GRANULOMATOUS ANGIITIS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HAEMOPTYSIS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PHARYNGEAL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POSTNASAL DRIP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PRODUCTIVE 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RESPIRATORY TRACT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INVESTIGATIONS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ST SEGMENT 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INVERSION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GLUCOSE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AMPLITUDE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 PROSTATE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ALKALINE PHOSPHATASE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CHOLESTEROL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CREATINE PHOSPHOKINASE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URINE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BODY TEMPERATURE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CYSTOSCOPY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MUCOSA 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WEIGHT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MUSCULOSKELETAL AND CONNECTIVE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SHOULDER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MUSCLE SPASMS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FLANK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MUSCULAR WEAKNESS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 IN EXTREMITY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INJURY, POISONING AND 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EXCORIATION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HIP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LACERATION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FACIAL BONES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AND URINARY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MICTURITION URGENCY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NEPHROLITHIASIS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CALCULUS URETHRAL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INCONTINENCE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POLLAKIURIA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METABOLISM AND NUTRITION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FOOD CRAVING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DEHYDRATION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HYPONATRAEMIA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VASCULAR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HOT FLUSH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ORTHOSTATIC 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EYE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VISION BLURRED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SURGICAL AND MEDICAL PROCEDURES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CATARACT OPERATION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ACROCHORDON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LASER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LESION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 AND LABYRINTH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VERTIGO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CERUMEN IMPACTION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CONGENITAL, FAMILIAL AND GENETIC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SEPTAL DEFECT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NEOPLASMS BENIGN, MALIGNANT AND UNSPECIFIED (INCL CYSTS AND POLYPS)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COLON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MALIGNANT FIBROUS HISTIOCYTOMA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PROSTATE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REPRODUCTIVE SYSTEM AND BREAST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BENIGN PROSTATIC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PELVIC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HEPATOBILIARY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HYPERBILIRUBINAEMIA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IMMUNE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CIRCUMSTANCES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 = number (percentage) of subjects with at least one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event; a subject is counted once per row.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2026-10-15T21:11:47Z</dcterms:created>
  <dcterms:modified xsi:type="dcterms:W3CDTF">2026-10-15T21:11:47Z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