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9572D2" w:rsidRPr="009572D2" w:rsidTr="009572D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3"/>
              <w:gridCol w:w="3629"/>
            </w:tblGrid>
            <w:tr w:rsidR="009572D2" w:rsidRPr="009572D2" w:rsidTr="009572D2">
              <w:trPr>
                <w:tblCellSpacing w:w="0" w:type="dxa"/>
              </w:trPr>
              <w:tc>
                <w:tcPr>
                  <w:tcW w:w="3000" w:type="pct"/>
                  <w:vAlign w:val="bottom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 xml:space="preserve">Tendenz der Märkte &gt; Komponenten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righ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 xml:space="preserve">27.10.2016 19:58:40 </w:t>
                  </w:r>
                </w:p>
              </w:tc>
            </w:tr>
          </w:tbl>
          <w:p w:rsidR="009572D2" w:rsidRDefault="009572D2" w:rsidP="009572D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de-CH" w:eastAsia="de-CH"/>
              </w:rPr>
            </w:pPr>
          </w:p>
          <w:p w:rsidR="009572D2" w:rsidRDefault="009572D2" w:rsidP="009572D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de-CH" w:eastAsia="de-CH"/>
              </w:rPr>
            </w:pPr>
            <w:r>
              <w:rPr>
                <w:rFonts w:eastAsia="Times New Roman" w:cs="Times New Roman"/>
                <w:szCs w:val="24"/>
                <w:lang w:val="de-CH" w:eastAsia="de-CH"/>
              </w:rPr>
              <w:t xml:space="preserve">Meistgehandelte Aktien </w:t>
            </w:r>
            <w:proofErr w:type="spellStart"/>
            <w:r>
              <w:rPr>
                <w:rFonts w:eastAsia="Times New Roman" w:cs="Times New Roman"/>
                <w:szCs w:val="24"/>
                <w:lang w:val="de-CH" w:eastAsia="de-CH"/>
              </w:rPr>
              <w:t>schweizer</w:t>
            </w:r>
            <w:proofErr w:type="spellEnd"/>
            <w:r>
              <w:rPr>
                <w:rFonts w:eastAsia="Times New Roman" w:cs="Times New Roman"/>
                <w:szCs w:val="24"/>
                <w:lang w:val="de-CH" w:eastAsia="de-CH"/>
              </w:rPr>
              <w:t xml:space="preserve"> Aktien</w:t>
            </w:r>
            <w:bookmarkStart w:id="0" w:name="_GoBack"/>
            <w:bookmarkEnd w:id="0"/>
          </w:p>
          <w:p w:rsidR="009572D2" w:rsidRDefault="009572D2" w:rsidP="009572D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de-CH" w:eastAsia="de-CH"/>
              </w:rPr>
            </w:pPr>
          </w:p>
          <w:p w:rsidR="009572D2" w:rsidRPr="009572D2" w:rsidRDefault="009572D2" w:rsidP="009572D2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de-CH" w:eastAsia="de-CH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40"/>
              <w:gridCol w:w="220"/>
              <w:gridCol w:w="1374"/>
              <w:gridCol w:w="1080"/>
            </w:tblGrid>
            <w:tr w:rsidR="009572D2" w:rsidRPr="009572D2" w:rsidTr="009572D2">
              <w:trPr>
                <w:tblHeader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  <w:t>Kurs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  <w:t>Veränderung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b/>
                      <w:bCs/>
                      <w:szCs w:val="24"/>
                      <w:lang w:val="de-CH" w:eastAsia="de-CH"/>
                    </w:rPr>
                    <w:t>Vol.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5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CS Group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14.00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21" name="Grafik 21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0.20 (1.45%)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9,237,657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7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ABB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20.55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20" name="Grafik 20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-1.45 (-6.59%)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21,076,512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9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Swiss Re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93.10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9" name="Grafik 19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0.45 (0.49%)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940,787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0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UBS Group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13.93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8" name="Grafik 18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0.23 (1.68%)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14,539,675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1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Adecco Group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59.10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7" name="Grafik 17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0.05 (0.08%)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1,353,373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2" w:history="1"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LafargeHolcim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53.60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6" name="Grafik 16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0.25 (0.47%)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1,513,343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3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Nestle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73.20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5" name="Grafik 15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0.95 (1.31%)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5,973,423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4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Novartis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71.40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4" name="Grafik 14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0.20 (0.28%)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7,786,229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5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Swiss Life </w:t>
                    </w:r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Hldg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260.70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3" name="Grafik 13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2.20 (0.85%)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128,152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6" w:history="1"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Richemont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65.10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2" name="Grafik 12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-0.60 (-0.91%)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1,755,573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7" w:history="1"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Actelion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143.30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1" name="Grafik 11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-0.80 (-0.56%)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509,153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8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Syngenta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393.80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0" name="Grafik 10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-5.70 (-1.43%)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302,780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19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Roche </w:t>
                    </w:r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Hldg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DR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230.30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9" name="Grafik 9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3.80 (1.68%)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2,282,976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0" w:history="1"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Givaudan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1,922.00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8" name="Grafik 8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1.00 (0.05%)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16,945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1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Geberit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422.10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7" name="Grafik 7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1.30 (0.31%)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118,999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2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The Swatch </w:t>
                    </w:r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Grp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307.40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6" name="Grafik 6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-2.90 (-0.93%)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229,172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3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Swisscom Reg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455.90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5" name="Grafik 5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-0.70 (-0.15%)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138,750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4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SGS Reg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2,023.00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4" name="Grafik 4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-61.00 (-2.93%)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57,725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5" w:history="1"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Zurich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</w:t>
                    </w:r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Insur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</w:t>
                    </w:r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Grp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260.50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3" name="Grafik 3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0.90 (0.35%)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395,365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6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Julius Baer </w:t>
                    </w:r>
                    <w:proofErr w:type="spellStart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Grp</w:t>
                    </w:r>
                    <w:proofErr w:type="spellEnd"/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 xml:space="preserve"> 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40.15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2" name="Grafik 2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CF1E57"/>
                      <w:sz w:val="17"/>
                      <w:szCs w:val="17"/>
                      <w:lang w:val="de-CH" w:eastAsia="de-CH"/>
                    </w:rPr>
                    <w:t>-0.04 (-0.10%)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708,162</w:t>
                  </w:r>
                </w:p>
              </w:tc>
            </w:tr>
            <w:tr w:rsidR="009572D2" w:rsidRPr="009572D2" w:rsidTr="009572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hyperlink r:id="rId27" w:history="1">
                    <w:r w:rsidRPr="009572D2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  <w:lang w:val="de-CH" w:eastAsia="de-CH"/>
                      </w:rPr>
                      <w:t>SMI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7,924.39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noProof/>
                      <w:szCs w:val="24"/>
                      <w:lang w:val="de-CH" w:eastAsia="de-CH"/>
                    </w:rPr>
                    <w:drawing>
                      <wp:inline distT="0" distB="0" distL="0" distR="0">
                        <wp:extent cx="139700" cy="190500"/>
                        <wp:effectExtent l="0" t="0" r="0" b="0"/>
                        <wp:docPr id="1" name="Grafik 1" descr="tre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tre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color w:val="24C021"/>
                      <w:sz w:val="17"/>
                      <w:szCs w:val="17"/>
                      <w:lang w:val="de-CH" w:eastAsia="de-CH"/>
                    </w:rPr>
                    <w:t>31.62 (0.40%)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72D2" w:rsidRPr="009572D2" w:rsidRDefault="009572D2" w:rsidP="009572D2">
                  <w:pPr>
                    <w:spacing w:after="0" w:line="240" w:lineRule="auto"/>
                    <w:ind w:firstLine="0"/>
                    <w:jc w:val="left"/>
                    <w:rPr>
                      <w:rFonts w:eastAsia="Times New Roman" w:cs="Times New Roman"/>
                      <w:szCs w:val="24"/>
                      <w:lang w:val="de-CH" w:eastAsia="de-CH"/>
                    </w:rPr>
                  </w:pPr>
                  <w:r w:rsidRPr="009572D2">
                    <w:rPr>
                      <w:rFonts w:eastAsia="Times New Roman" w:cs="Times New Roman"/>
                      <w:szCs w:val="24"/>
                      <w:lang w:val="de-CH" w:eastAsia="de-CH"/>
                    </w:rPr>
                    <w:t>-</w:t>
                  </w:r>
                </w:p>
              </w:tc>
            </w:tr>
          </w:tbl>
          <w:p w:rsidR="009572D2" w:rsidRPr="009572D2" w:rsidRDefault="009572D2" w:rsidP="009572D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</w:tbl>
    <w:p w:rsidR="00EF6B81" w:rsidRDefault="00EF6B81"/>
    <w:sectPr w:rsidR="00EF6B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27426"/>
    <w:multiLevelType w:val="multilevel"/>
    <w:tmpl w:val="8876A91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6B5B41"/>
    <w:multiLevelType w:val="multilevel"/>
    <w:tmpl w:val="17D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D2"/>
    <w:rsid w:val="003B5E57"/>
    <w:rsid w:val="007B3A9F"/>
    <w:rsid w:val="00807B2A"/>
    <w:rsid w:val="009572D2"/>
    <w:rsid w:val="00E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E351C"/>
  <w15:chartTrackingRefBased/>
  <w15:docId w15:val="{64B4A1DF-B2F4-4246-9F25-9613F38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3A9F"/>
    <w:pPr>
      <w:spacing w:after="60" w:line="480" w:lineRule="auto"/>
      <w:ind w:firstLine="737"/>
      <w:jc w:val="both"/>
    </w:pPr>
    <w:rPr>
      <w:rFonts w:ascii="Times New Roman" w:hAnsi="Times New Roman"/>
      <w:sz w:val="24"/>
      <w:lang w:val="en-US" w:eastAsia="de-DE"/>
    </w:rPr>
  </w:style>
  <w:style w:type="paragraph" w:styleId="berschrift1">
    <w:name w:val="heading 1"/>
    <w:basedOn w:val="Standard"/>
    <w:next w:val="Standard1stline"/>
    <w:link w:val="berschrift1Zchn"/>
    <w:uiPriority w:val="9"/>
    <w:qFormat/>
    <w:rsid w:val="007B3A9F"/>
    <w:pPr>
      <w:keepNext/>
      <w:keepLines/>
      <w:numPr>
        <w:numId w:val="9"/>
      </w:numPr>
      <w:spacing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3A9F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3A9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3A9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3A9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3A9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3A9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3A9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3A9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07B2A"/>
    <w:pPr>
      <w:spacing w:after="0" w:line="240" w:lineRule="auto"/>
    </w:pPr>
    <w:rPr>
      <w:rFonts w:ascii="Times" w:eastAsia="Times New Roman" w:hAnsi="Times" w:cs="Times New Roman"/>
      <w:sz w:val="24"/>
      <w:szCs w:val="24"/>
      <w:lang w:val="en-US"/>
    </w:rPr>
    <w:tblPr/>
    <w:tblStylePr w:type="firstRow">
      <w:rPr>
        <w:b w:val="0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B3A9F"/>
    <w:pPr>
      <w:keepNext/>
      <w:spacing w:after="200" w:line="240" w:lineRule="auto"/>
      <w:ind w:firstLine="0"/>
      <w:jc w:val="center"/>
    </w:pPr>
    <w:rPr>
      <w:rFonts w:eastAsia="Times New Roman" w:cs="Times New Roman"/>
      <w:b/>
      <w:bCs/>
      <w:szCs w:val="24"/>
    </w:rPr>
  </w:style>
  <w:style w:type="paragraph" w:customStyle="1" w:styleId="BeschriftungText">
    <w:name w:val="Beschriftung Text"/>
    <w:basedOn w:val="Beschriftung"/>
    <w:link w:val="BeschriftungTextZchn"/>
    <w:rsid w:val="00807B2A"/>
    <w:pPr>
      <w:spacing w:after="0"/>
    </w:pPr>
    <w:rPr>
      <w:rFonts w:eastAsiaTheme="minorHAnsi" w:cstheme="minorBidi"/>
      <w:i/>
      <w:sz w:val="22"/>
    </w:rPr>
  </w:style>
  <w:style w:type="character" w:customStyle="1" w:styleId="BeschriftungTextZchn">
    <w:name w:val="Beschriftung Text Zchn"/>
    <w:basedOn w:val="Absatz-Standardschriftart"/>
    <w:link w:val="BeschriftungText"/>
    <w:rsid w:val="00807B2A"/>
    <w:rPr>
      <w:rFonts w:ascii="Times New Roman" w:hAnsi="Times New Roman"/>
      <w:iCs/>
      <w:szCs w:val="18"/>
      <w:lang w:val="en-CA"/>
    </w:rPr>
  </w:style>
  <w:style w:type="paragraph" w:customStyle="1" w:styleId="Abstract">
    <w:name w:val="Abstract"/>
    <w:basedOn w:val="Standard"/>
    <w:next w:val="Standard1stline"/>
    <w:link w:val="AbstractZchn"/>
    <w:qFormat/>
    <w:rsid w:val="007B3A9F"/>
    <w:pPr>
      <w:ind w:firstLine="0"/>
      <w:jc w:val="center"/>
    </w:pPr>
    <w:rPr>
      <w:rFonts w:eastAsia="Times New Roman" w:cs="Times New Roman"/>
      <w:sz w:val="22"/>
    </w:rPr>
  </w:style>
  <w:style w:type="character" w:customStyle="1" w:styleId="AbstractZchn">
    <w:name w:val="Abstract Zchn"/>
    <w:basedOn w:val="Absatz-Standardschriftart"/>
    <w:link w:val="Abstract"/>
    <w:rsid w:val="007B3A9F"/>
    <w:rPr>
      <w:rFonts w:ascii="Times New Roman" w:eastAsia="Times New Roman" w:hAnsi="Times New Roman" w:cs="Times New Roman"/>
      <w:lang w:val="en-US" w:eastAsia="de-DE"/>
    </w:rPr>
  </w:style>
  <w:style w:type="paragraph" w:customStyle="1" w:styleId="References">
    <w:name w:val="References"/>
    <w:basedOn w:val="StandardWeb"/>
    <w:link w:val="ReferencesZchn"/>
    <w:qFormat/>
    <w:rsid w:val="007B3A9F"/>
    <w:pPr>
      <w:spacing w:before="100" w:beforeAutospacing="1" w:after="100" w:afterAutospacing="1" w:line="240" w:lineRule="auto"/>
      <w:ind w:left="426" w:hanging="426"/>
    </w:pPr>
    <w:rPr>
      <w:rFonts w:eastAsiaTheme="minorEastAsia"/>
      <w:noProof/>
      <w:sz w:val="22"/>
      <w:szCs w:val="22"/>
      <w:lang w:val="de-CH"/>
    </w:rPr>
  </w:style>
  <w:style w:type="character" w:customStyle="1" w:styleId="ReferencesZchn">
    <w:name w:val="References Zchn"/>
    <w:basedOn w:val="Absatz-Standardschriftart"/>
    <w:link w:val="References"/>
    <w:rsid w:val="007B3A9F"/>
    <w:rPr>
      <w:rFonts w:ascii="Times New Roman" w:eastAsiaTheme="minorEastAsia" w:hAnsi="Times New Roman" w:cs="Times New Roman"/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B3A9F"/>
    <w:rPr>
      <w:rFonts w:cs="Times New Roman"/>
      <w:szCs w:val="24"/>
    </w:rPr>
  </w:style>
  <w:style w:type="paragraph" w:customStyle="1" w:styleId="Standard1stline">
    <w:name w:val="Standard 1st line"/>
    <w:basedOn w:val="Standard"/>
    <w:next w:val="Standard"/>
    <w:link w:val="Standard1stlineZchn"/>
    <w:autoRedefine/>
    <w:qFormat/>
    <w:rsid w:val="007B3A9F"/>
    <w:pPr>
      <w:spacing w:after="0"/>
      <w:ind w:firstLine="0"/>
      <w:contextualSpacing/>
      <w:jc w:val="left"/>
    </w:pPr>
    <w:rPr>
      <w:rFonts w:eastAsia="Times New Roman" w:cs="Times New Roman"/>
      <w:bCs/>
    </w:rPr>
  </w:style>
  <w:style w:type="character" w:customStyle="1" w:styleId="Standard1stlineZchn">
    <w:name w:val="Standard 1st line Zchn"/>
    <w:basedOn w:val="Absatz-Standardschriftart"/>
    <w:link w:val="Standard1stline"/>
    <w:rsid w:val="007B3A9F"/>
    <w:rPr>
      <w:rFonts w:ascii="Times New Roman" w:eastAsia="Times New Roman" w:hAnsi="Times New Roman" w:cs="Times New Roman"/>
      <w:bCs/>
      <w:sz w:val="24"/>
      <w:lang w:val="en-US" w:eastAsia="de-DE"/>
    </w:rPr>
  </w:style>
  <w:style w:type="paragraph" w:customStyle="1" w:styleId="FigureSubtitle">
    <w:name w:val="Figure Subtitle"/>
    <w:basedOn w:val="Standard"/>
    <w:link w:val="FigureSubtitleZchn"/>
    <w:qFormat/>
    <w:rsid w:val="007B3A9F"/>
    <w:pPr>
      <w:spacing w:after="0" w:line="240" w:lineRule="auto"/>
      <w:ind w:firstLine="0"/>
    </w:pPr>
    <w:rPr>
      <w:rFonts w:eastAsia="Times New Roman" w:cs="Times New Roman"/>
    </w:rPr>
  </w:style>
  <w:style w:type="character" w:customStyle="1" w:styleId="FigureSubtitleZchn">
    <w:name w:val="Figure Subtitle Zchn"/>
    <w:basedOn w:val="Absatz-Standardschriftart"/>
    <w:link w:val="FigureSubtitle"/>
    <w:rsid w:val="007B3A9F"/>
    <w:rPr>
      <w:rFonts w:ascii="Times New Roman" w:eastAsia="Times New Roman" w:hAnsi="Times New Roman" w:cs="Times New Roman"/>
      <w:sz w:val="24"/>
      <w:lang w:val="en-US" w:eastAsia="de-DE"/>
    </w:rPr>
  </w:style>
  <w:style w:type="paragraph" w:customStyle="1" w:styleId="Tabelle">
    <w:name w:val="Tabelle"/>
    <w:basedOn w:val="Standard1stline"/>
    <w:qFormat/>
    <w:rsid w:val="007B3A9F"/>
    <w:rPr>
      <w:bCs w:val="0"/>
      <w:iCs/>
    </w:rPr>
  </w:style>
  <w:style w:type="paragraph" w:customStyle="1" w:styleId="Example">
    <w:name w:val="Example"/>
    <w:basedOn w:val="Standard"/>
    <w:link w:val="ExampleZchn"/>
    <w:qFormat/>
    <w:rsid w:val="007B3A9F"/>
    <w:pPr>
      <w:ind w:left="964" w:right="964" w:firstLine="0"/>
    </w:pPr>
    <w:rPr>
      <w:rFonts w:eastAsia="Times New Roman" w:cs="Times New Roman"/>
      <w:sz w:val="18"/>
    </w:rPr>
  </w:style>
  <w:style w:type="character" w:customStyle="1" w:styleId="ExampleZchn">
    <w:name w:val="Example Zchn"/>
    <w:basedOn w:val="Absatz-Standardschriftart"/>
    <w:link w:val="Example"/>
    <w:rsid w:val="007B3A9F"/>
    <w:rPr>
      <w:rFonts w:ascii="Times New Roman" w:eastAsia="Times New Roman" w:hAnsi="Times New Roman" w:cs="Times New Roman"/>
      <w:sz w:val="18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3A9F"/>
    <w:rPr>
      <w:rFonts w:asciiTheme="majorHAnsi" w:eastAsiaTheme="majorEastAsia" w:hAnsiTheme="majorHAnsi" w:cstheme="majorBidi"/>
      <w:b/>
      <w:bCs/>
      <w:sz w:val="24"/>
      <w:szCs w:val="28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3A9F"/>
    <w:rPr>
      <w:rFonts w:asciiTheme="majorHAnsi" w:eastAsiaTheme="majorEastAsia" w:hAnsiTheme="majorHAnsi" w:cstheme="majorBidi"/>
      <w:b/>
      <w:bCs/>
      <w:sz w:val="26"/>
      <w:szCs w:val="2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3A9F"/>
    <w:rPr>
      <w:rFonts w:asciiTheme="majorHAnsi" w:eastAsiaTheme="majorEastAsia" w:hAnsiTheme="majorHAnsi" w:cstheme="majorBidi"/>
      <w:b/>
      <w:bCs/>
      <w:color w:val="4F81BD" w:themeColor="accent1"/>
      <w:sz w:val="24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3A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3A9F"/>
    <w:rPr>
      <w:rFonts w:asciiTheme="majorHAnsi" w:eastAsiaTheme="majorEastAsia" w:hAnsiTheme="majorHAnsi" w:cstheme="majorBidi"/>
      <w:color w:val="243F60" w:themeColor="accent1" w:themeShade="7F"/>
      <w:sz w:val="24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3A9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3A9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3A9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3A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B3A9F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character" w:styleId="Hervorhebung">
    <w:name w:val="Emphasis"/>
    <w:uiPriority w:val="20"/>
    <w:qFormat/>
    <w:rsid w:val="007B3A9F"/>
    <w:rPr>
      <w:i/>
      <w:iCs/>
    </w:rPr>
  </w:style>
  <w:style w:type="paragraph" w:styleId="KeinLeerraum">
    <w:name w:val="No Spacing"/>
    <w:uiPriority w:val="1"/>
    <w:qFormat/>
    <w:rsid w:val="007B3A9F"/>
    <w:pPr>
      <w:spacing w:after="0" w:line="240" w:lineRule="auto"/>
      <w:ind w:firstLine="567"/>
    </w:pPr>
    <w:rPr>
      <w:rFonts w:ascii="Times New Roman" w:eastAsia="Times New Roman" w:hAnsi="Times New Roman" w:cs="Times New Roman"/>
      <w:lang w:val="en-US" w:eastAsia="de-DE"/>
    </w:rPr>
  </w:style>
  <w:style w:type="paragraph" w:styleId="Listenabsatz">
    <w:name w:val="List Paragraph"/>
    <w:basedOn w:val="Standard"/>
    <w:uiPriority w:val="34"/>
    <w:qFormat/>
    <w:rsid w:val="007B3A9F"/>
    <w:pPr>
      <w:ind w:left="720"/>
      <w:contextualSpacing/>
    </w:pPr>
    <w:rPr>
      <w:rFonts w:eastAsia="Times New Roman" w:cs="Times New Roman"/>
    </w:rPr>
  </w:style>
  <w:style w:type="character" w:customStyle="1" w:styleId="userinstrument">
    <w:name w:val="userinstrument"/>
    <w:basedOn w:val="Absatz-Standardschriftart"/>
    <w:rsid w:val="009572D2"/>
  </w:style>
  <w:style w:type="character" w:customStyle="1" w:styleId="userdateheader">
    <w:name w:val="userdateheader"/>
    <w:basedOn w:val="Absatz-Standardschriftart"/>
    <w:rsid w:val="009572D2"/>
  </w:style>
  <w:style w:type="character" w:styleId="Hyperlink">
    <w:name w:val="Hyperlink"/>
    <w:basedOn w:val="Absatz-Standardschriftart"/>
    <w:uiPriority w:val="99"/>
    <w:semiHidden/>
    <w:unhideWhenUsed/>
    <w:rsid w:val="009572D2"/>
    <w:rPr>
      <w:color w:val="0000FF"/>
      <w:u w:val="single"/>
    </w:rPr>
  </w:style>
  <w:style w:type="character" w:customStyle="1" w:styleId="pos">
    <w:name w:val="pos"/>
    <w:basedOn w:val="Absatz-Standardschriftart"/>
    <w:rsid w:val="009572D2"/>
  </w:style>
  <w:style w:type="character" w:customStyle="1" w:styleId="neg">
    <w:name w:val="neg"/>
    <w:basedOn w:val="Absatz-Standardschriftart"/>
    <w:rsid w:val="0095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tradedirect.ch/feed/fragment/finance/fragment/details/detail.jsp?listingId=3886335,380,1" TargetMode="External"/><Relationship Id="rId18" Type="http://schemas.openxmlformats.org/officeDocument/2006/relationships/hyperlink" Target="https://www.tradedirect.ch/feed/fragment/finance/fragment/details/detail.jsp?listingId=1103746,380,1" TargetMode="External"/><Relationship Id="rId26" Type="http://schemas.openxmlformats.org/officeDocument/2006/relationships/hyperlink" Target="https://www.tradedirect.ch/feed/fragment/finance/fragment/details/detail.jsp?listingId=10248496,380,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adedirect.ch/feed/fragment/finance/fragment/details/detail.jsp?listingId=3017040,380,1" TargetMode="External"/><Relationship Id="rId7" Type="http://schemas.openxmlformats.org/officeDocument/2006/relationships/hyperlink" Target="https://www.tradedirect.ch/feed/fragment/finance/fragment/details/detail.jsp?listingId=1222171,380,1" TargetMode="External"/><Relationship Id="rId12" Type="http://schemas.openxmlformats.org/officeDocument/2006/relationships/hyperlink" Target="https://www.tradedirect.ch/feed/fragment/finance/fragment/details/detail.jsp?listingId=1221405,380,1" TargetMode="External"/><Relationship Id="rId17" Type="http://schemas.openxmlformats.org/officeDocument/2006/relationships/hyperlink" Target="https://www.tradedirect.ch/feed/fragment/finance/fragment/details/detail.jsp?listingId=1053247,380,1" TargetMode="External"/><Relationship Id="rId25" Type="http://schemas.openxmlformats.org/officeDocument/2006/relationships/hyperlink" Target="https://www.tradedirect.ch/feed/fragment/finance/fragment/details/detail.jsp?listingId=1107539,380,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dedirect.ch/feed/fragment/finance/fragment/details/detail.jsp?listingId=21048333,380,1" TargetMode="External"/><Relationship Id="rId20" Type="http://schemas.openxmlformats.org/officeDocument/2006/relationships/hyperlink" Target="https://www.tradedirect.ch/feed/fragment/finance/fragment/details/detail.jsp?listingId=1064593,380,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tradedirect.ch/feed/fragment/finance/fragment/details/detail.jsp?listingId=1213860,380,1" TargetMode="External"/><Relationship Id="rId24" Type="http://schemas.openxmlformats.org/officeDocument/2006/relationships/hyperlink" Target="https://www.tradedirect.ch/feed/fragment/finance/fragment/details/detail.jsp?listingId=249745,380,1" TargetMode="External"/><Relationship Id="rId5" Type="http://schemas.openxmlformats.org/officeDocument/2006/relationships/hyperlink" Target="https://www.tradedirect.ch/feed/fragment/finance/fragment/details/detail.jsp?listingId=1213853,380,1" TargetMode="External"/><Relationship Id="rId15" Type="http://schemas.openxmlformats.org/officeDocument/2006/relationships/hyperlink" Target="https://www.tradedirect.ch/feed/fragment/finance/fragment/details/detail.jsp?listingId=1485278,380,1" TargetMode="External"/><Relationship Id="rId23" Type="http://schemas.openxmlformats.org/officeDocument/2006/relationships/hyperlink" Target="https://www.tradedirect.ch/feed/fragment/finance/fragment/details/detail.jsp?listingId=874251,380,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radedirect.ch/feed/fragment/finance/fragment/details/detail.jsp?listingId=24476758,380,1" TargetMode="External"/><Relationship Id="rId19" Type="http://schemas.openxmlformats.org/officeDocument/2006/relationships/hyperlink" Target="https://www.tradedirect.ch/feed/fragment/finance/fragment/details/detail.jsp?listingId=1203204,380,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direct.ch/feed/fragment/finance/fragment/details/detail.jsp?listingId=12688156,380,1" TargetMode="External"/><Relationship Id="rId14" Type="http://schemas.openxmlformats.org/officeDocument/2006/relationships/hyperlink" Target="https://www.tradedirect.ch/feed/fragment/finance/fragment/details/detail.jsp?listingId=1200526,380,1" TargetMode="External"/><Relationship Id="rId22" Type="http://schemas.openxmlformats.org/officeDocument/2006/relationships/hyperlink" Target="https://www.tradedirect.ch/feed/fragment/finance/fragment/details/detail.jsp?listingId=1225515,380,1" TargetMode="External"/><Relationship Id="rId27" Type="http://schemas.openxmlformats.org/officeDocument/2006/relationships/hyperlink" Target="https://www.tradedirect.ch/feed/fragment/finance/fragment/details/detail.jsp?listingId=998089,4,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A Styl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Jarecki</dc:creator>
  <cp:keywords/>
  <dc:description/>
  <cp:lastModifiedBy>Jana Jarecki</cp:lastModifiedBy>
  <cp:revision>1</cp:revision>
  <dcterms:created xsi:type="dcterms:W3CDTF">2016-10-27T17:59:00Z</dcterms:created>
  <dcterms:modified xsi:type="dcterms:W3CDTF">2016-10-27T18:00:00Z</dcterms:modified>
</cp:coreProperties>
</file>