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BC0E" w14:textId="7100A7EC" w:rsidR="00BB47E2" w:rsidRDefault="00BB47E2" w:rsidP="00BB47E2">
      <w:r>
        <w:rPr>
          <w:noProof/>
        </w:rPr>
        <w:drawing>
          <wp:inline distT="0" distB="0" distL="0" distR="0" wp14:anchorId="41370C3C" wp14:editId="6F078D12">
            <wp:extent cx="5943600" cy="3049905"/>
            <wp:effectExtent l="0" t="0" r="0" b="0"/>
            <wp:docPr id="655321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2126" name="Picture 1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7155" w14:textId="77777777" w:rsidR="00BB47E2" w:rsidRDefault="00BB47E2" w:rsidP="00BB47E2"/>
    <w:p w14:paraId="2C2251CF" w14:textId="01A368D4" w:rsidR="00BB47E2" w:rsidRDefault="00BB47E2" w:rsidP="00430C83">
      <w:pPr>
        <w:jc w:val="both"/>
      </w:pPr>
      <w:r>
        <w:t xml:space="preserve">Gene name is </w:t>
      </w:r>
      <w:r>
        <w:t>sema4f</w:t>
      </w:r>
      <w:r>
        <w:t xml:space="preserve"> and from s</w:t>
      </w:r>
      <w:r>
        <w:t>upporting evidence</w:t>
      </w:r>
      <w:r>
        <w:t xml:space="preserve"> there is </w:t>
      </w:r>
      <w:r>
        <w:t>similarity to</w:t>
      </w:r>
      <w:r>
        <w:t xml:space="preserve"> </w:t>
      </w:r>
      <w:r>
        <w:t>10</w:t>
      </w:r>
      <w:r>
        <w:t xml:space="preserve"> other</w:t>
      </w:r>
      <w:r>
        <w:t xml:space="preserve"> </w:t>
      </w:r>
      <w:r>
        <w:t>p</w:t>
      </w:r>
      <w:r>
        <w:t>roteins, and</w:t>
      </w:r>
      <w:r>
        <w:t xml:space="preserve"> there is </w:t>
      </w:r>
      <w:r>
        <w:t xml:space="preserve">89% coverage of the annotated genomic feature by </w:t>
      </w:r>
      <w:proofErr w:type="spellStart"/>
      <w:r>
        <w:t>RNAseq</w:t>
      </w:r>
      <w:proofErr w:type="spellEnd"/>
      <w:r>
        <w:t xml:space="preserve"> alignments</w:t>
      </w:r>
      <w:r>
        <w:t xml:space="preserve">. </w:t>
      </w:r>
      <w:r w:rsidRPr="00BB47E2">
        <w:t xml:space="preserve">This gene encodes a transmembrane class IV </w:t>
      </w:r>
      <w:proofErr w:type="spellStart"/>
      <w:r w:rsidRPr="00BB47E2">
        <w:t>semaphorin</w:t>
      </w:r>
      <w:proofErr w:type="spellEnd"/>
      <w:r w:rsidRPr="00BB47E2">
        <w:t xml:space="preserve"> family protein, which plays a role in neural development. </w:t>
      </w:r>
      <w:r>
        <w:t xml:space="preserve">The genes </w:t>
      </w:r>
      <w:r>
        <w:t>product</w:t>
      </w:r>
      <w:r>
        <w:t xml:space="preserve"> has</w:t>
      </w:r>
      <w:r>
        <w:t> </w:t>
      </w:r>
      <w:proofErr w:type="spellStart"/>
      <w:r>
        <w:t>sema</w:t>
      </w:r>
      <w:proofErr w:type="spellEnd"/>
      <w:r>
        <w:t xml:space="preserve"> domain, immunoglobulin domain (Ig), transmembrane domain (TM) and short cytoplasmic domain, (</w:t>
      </w:r>
      <w:proofErr w:type="spellStart"/>
      <w:r>
        <w:t>semaphorin</w:t>
      </w:r>
      <w:proofErr w:type="spellEnd"/>
      <w:r>
        <w:t>) 4F</w:t>
      </w:r>
      <w:r>
        <w:t xml:space="preserve">. The gene has 15 exons, upstream of the start of the gene we can see multiple regions of open chromatin however some of the are non-coding elements which might be potential regulators of said gene. There </w:t>
      </w:r>
      <w:r w:rsidR="004F2019">
        <w:t>are</w:t>
      </w:r>
      <w:r>
        <w:t xml:space="preserve"> potential differences in the expression of this gene in larval and diapause stages because the </w:t>
      </w:r>
      <w:proofErr w:type="spellStart"/>
      <w:r>
        <w:t>RNAseq</w:t>
      </w:r>
      <w:proofErr w:type="spellEnd"/>
      <w:r>
        <w:t xml:space="preserve"> data for the </w:t>
      </w:r>
      <w:r w:rsidR="004F2019">
        <w:t xml:space="preserve">diapause </w:t>
      </w:r>
      <w:r>
        <w:t xml:space="preserve">stage is showing fewer peaks, meaning there is less RNA for this specific gene in the </w:t>
      </w:r>
      <w:r w:rsidR="004F2019">
        <w:t>diapause</w:t>
      </w:r>
      <w:r>
        <w:t xml:space="preserve"> stage compared to the </w:t>
      </w:r>
      <w:r w:rsidR="004F2019">
        <w:t xml:space="preserve">larval </w:t>
      </w:r>
      <w:r>
        <w:t>stage.</w:t>
      </w:r>
      <w:r w:rsidR="004F2019">
        <w:t xml:space="preserve"> </w:t>
      </w:r>
      <w:proofErr w:type="spellStart"/>
      <w:r w:rsidR="004F2019">
        <w:t>ATACseq</w:t>
      </w:r>
      <w:proofErr w:type="spellEnd"/>
      <w:r w:rsidR="004F2019">
        <w:t xml:space="preserve"> data is also showing less peaks for this region of interest during diapause stage.</w:t>
      </w:r>
      <w:r>
        <w:t xml:space="preserve"> </w:t>
      </w:r>
      <w:r>
        <w:t>Peak 583</w:t>
      </w:r>
      <w:r>
        <w:t>,</w:t>
      </w:r>
      <w:r>
        <w:t xml:space="preserve"> peak 584</w:t>
      </w:r>
      <w:r>
        <w:t>, 585, 586, 587 (representing open regions of chromatin which are non-coding)</w:t>
      </w:r>
      <w:r>
        <w:t xml:space="preserve"> are present in the</w:t>
      </w:r>
      <w:r>
        <w:t xml:space="preserve"> </w:t>
      </w:r>
      <w:r w:rsidR="004F2019">
        <w:t>larval</w:t>
      </w:r>
      <w:r>
        <w:t xml:space="preserve"> stage and are not present in the </w:t>
      </w:r>
      <w:r w:rsidR="004F2019">
        <w:t xml:space="preserve">diapause </w:t>
      </w:r>
      <w:r>
        <w:t xml:space="preserve">stage. This could indicate that these regions are up-regulators of gene </w:t>
      </w:r>
      <w:r>
        <w:t>sema4f</w:t>
      </w:r>
      <w:r w:rsidR="004F2019">
        <w:t xml:space="preserve"> or regulate a different gene during the larval stage development</w:t>
      </w:r>
      <w:r>
        <w:t xml:space="preserve">. </w:t>
      </w:r>
      <w:r>
        <w:t>Peak 587</w:t>
      </w:r>
      <w:r>
        <w:t xml:space="preserve"> NCOC is in the intron of the gene and could also act as the gene transcription regulator. Gene spans from 36195 to 36295kb meaning the gene has around 100kb</w:t>
      </w:r>
      <w:r w:rsidR="006D3011">
        <w:t xml:space="preserve"> and it is located on the first chromosome</w:t>
      </w:r>
      <w:r>
        <w:t xml:space="preserve">. </w:t>
      </w:r>
      <w:r w:rsidRPr="00BB47E2">
        <w:t>SEMA4F</w:t>
      </w:r>
      <w:r>
        <w:t xml:space="preserve">, </w:t>
      </w:r>
      <w:proofErr w:type="spellStart"/>
      <w:r w:rsidRPr="00BB47E2">
        <w:t>ssemaphorin</w:t>
      </w:r>
      <w:proofErr w:type="spellEnd"/>
      <w:r w:rsidRPr="00BB47E2">
        <w:t xml:space="preserve"> 4F </w:t>
      </w:r>
      <w:r>
        <w:t>in humans (</w:t>
      </w:r>
      <w:r w:rsidRPr="00BB47E2">
        <w:t>Homo sapiens</w:t>
      </w:r>
      <w:r>
        <w:t xml:space="preserve">) has 18 exons. </w:t>
      </w:r>
      <w:r w:rsidRPr="00BB47E2">
        <w:t>This gene may be involved in neurogenesis in prostate cancer, the development of neurofibromas, and breast cancer tumorigenesis</w:t>
      </w:r>
      <w:r w:rsidR="006D3011">
        <w:t xml:space="preserve"> in humans</w:t>
      </w:r>
      <w:r w:rsidRPr="00BB47E2">
        <w:t>. Alternative splicing results in multiple transcript variants</w:t>
      </w:r>
      <w:r>
        <w:t>, some variants by excluding exons.</w:t>
      </w:r>
    </w:p>
    <w:p w14:paraId="54DCF0A6" w14:textId="77777777" w:rsidR="00BB47E2" w:rsidRDefault="00BB47E2" w:rsidP="00BB47E2"/>
    <w:sectPr w:rsidR="00BB4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E2"/>
    <w:rsid w:val="00430C83"/>
    <w:rsid w:val="004F2019"/>
    <w:rsid w:val="006D3011"/>
    <w:rsid w:val="00A53018"/>
    <w:rsid w:val="00B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2E939"/>
  <w15:chartTrackingRefBased/>
  <w15:docId w15:val="{4FBF3409-B47D-F948-9710-B796C5D7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7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7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7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7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7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7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7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Vuckovic</dc:creator>
  <cp:keywords/>
  <dc:description/>
  <cp:lastModifiedBy>Jana Vuckovic</cp:lastModifiedBy>
  <cp:revision>5</cp:revision>
  <dcterms:created xsi:type="dcterms:W3CDTF">2024-04-16T20:36:00Z</dcterms:created>
  <dcterms:modified xsi:type="dcterms:W3CDTF">2024-04-16T21:57:00Z</dcterms:modified>
</cp:coreProperties>
</file>