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246"/>
        <w:gridCol w:w="2500"/>
      </w:tblGrid>
      <w:tr>
        <w:tc>
          <w:tcPr>
            <w:tcW w:type="dxa" w:w="7246"/>
            <w:tcBorders>
              <w:top w:val="none" w:color="FFFFFF" w:sz="0"/>
              <w:left w:val="none" w:color="FFFFFF" w:sz="0"/>
              <w:bottom w:val="none" w:color="FFFFFF" w:sz="0"/>
              <w:right w:val="none" w:color="FFFFFF" w:sz="0"/>
            </w:tcBorders>
            <w:tcMar>
              <w:top w:type="dxa" w:w="20"/>
              <w:left w:type="dxa" w:w="0"/>
              <w:bottom w:type="dxa" w:w="20"/>
              <w:right w:type="dxa" w:w="120"/>
            </w:tcMar>
            <w:vAlign w:val="center"/>
          </w:tcPr>
          <w:p>
            <w:pPr>
              <w:spacing w:after="80" w:before="100"/>
            </w:pPr>
            <w:r>
              <w:rPr>
                <w:b/>
                <w:bCs/>
                <w:color w:val="1F3864"/>
                <w:sz w:val="52"/>
                <w:szCs w:val="52"/>
              </w:rPr>
              <w:t xml:space="preserve">JANAKA PREMATHILAKA</w:t>
            </w:r>
          </w:p>
          <w:p>
            <w:pPr>
              <w:spacing w:after="60"/>
            </w:pPr>
            <w:r>
              <w:rPr>
                <w:color w:val="595959"/>
                <w:sz w:val="26"/>
                <w:szCs w:val="26"/>
              </w:rPr>
              <w:t xml:space="preserve">Senior Java Engineer &amp; Solution Architect</w:t>
            </w:r>
          </w:p>
          <w:p>
            <w:r>
              <w:rPr>
                <w:color w:val="595959"/>
                <w:sz w:val="22"/>
                <w:szCs w:val="22"/>
              </w:rPr>
              <w:t xml:space="preserve">Bankensysteme · KI-Integration</w:t>
            </w:r>
          </w:p>
        </w:tc>
        <w:tc>
          <w:tcPr>
            <w:tcW w:type="dxa" w:w="250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drawing>
                <wp:inline distT="0" distB="0" distL="0" distR="0">
                  <wp:extent cx="1009650" cy="1143000"/>
                  <wp:effectExtent t="0" r="0" b="0" l="0"/>
                  <wp:docPr id="1" name="headshot" descr="Portrait photo of Janaka Premathilaka"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09650" cy="1143000"/>
                          </a:xfrm>
                          <a:prstGeom prst="rect">
                            <a:avLst/>
                          </a:prstGeom>
                        </pic:spPr>
                      </pic:pic>
                    </a:graphicData>
                  </a:graphic>
                </wp:inline>
              </w:drawing>
            </w:r>
          </w:p>
        </w:tc>
      </w:tr>
    </w:tbl>
    <w:p>
      <w:pPr>
        <w:pBdr>
          <w:bottom w:val="single" w:color="262626" w:sz="8" w:space="1"/>
        </w:pBdr>
        <w:spacing w:after="120" w:before="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3173"/>
        <w:gridCol w:w="1700"/>
        <w:gridCol w:w="3173"/>
      </w:tblGrid>
      <w:tr>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Adresse:</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color w:val="262626"/>
              </w:rPr>
              <w:t xml:space="preserve">Zug 6300, Schweiz</w:t>
            </w:r>
          </w:p>
        </w:tc>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Geburtsdatum:</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color w:val="262626"/>
              </w:rPr>
              <w:t xml:space="preserve">15.02.1980</w:t>
            </w:r>
          </w:p>
        </w:tc>
      </w:tr>
      <w:tr>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Telefon:</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color w:val="262626"/>
              </w:rPr>
              <w:t xml:space="preserve">+41 76 224 84 45</w:t>
            </w:r>
          </w:p>
        </w:tc>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Nationalität:</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color w:val="262626"/>
              </w:rPr>
              <w:t xml:space="preserve">Belgisch (Niederlassungsbewilligung C)</w:t>
            </w:r>
          </w:p>
        </w:tc>
      </w:tr>
      <w:tr>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E-Mail:</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color w:val="262626"/>
              </w:rPr>
              <w:t xml:space="preserve">janaka2@gmail.com</w:t>
            </w:r>
          </w:p>
        </w:tc>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Verfügbarkeit:</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color w:val="262626"/>
              </w:rPr>
              <w:t xml:space="preserve">Kündigungsfrist 2 Monate</w:t>
            </w:r>
          </w:p>
        </w:tc>
      </w:tr>
      <w:tr>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LinkedIn:</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hyperlink w:history="1" r:id="rIdgfitgpametjfwxe3kkf67">
              <w:r>
                <w:rPr>
                  <w:rStyle w:val="Hyperlink"/>
                </w:rPr>
                <w:t xml:space="preserve">in/janakapremathilaka</w:t>
              </w:r>
            </w:hyperlink>
          </w:p>
        </w:tc>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Pikettdienst:</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color w:val="262626"/>
              </w:rPr>
              <w:t xml:space="preserve">Ja</w:t>
            </w:r>
          </w:p>
        </w:tc>
      </w:tr>
      <w:tr>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GitHub:</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hyperlink w:history="1" r:id="rIdq5v1efac_tsjjyawldont">
              <w:r>
                <w:rPr>
                  <w:rStyle w:val="Hyperlink"/>
                </w:rPr>
                <w:t xml:space="preserve">github.com/Janaka2</w:t>
              </w:r>
            </w:hyperlink>
          </w:p>
        </w:tc>
        <w:tc>
          <w:tcPr>
            <w:tcW w:type="dxa" w:w="17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r>
              <w:rPr>
                <w:b/>
                <w:bCs/>
                <w:color w:val="262626"/>
              </w:rPr>
              <w:t xml:space="preserve">Blog:</w:t>
            </w:r>
          </w:p>
        </w:tc>
        <w:tc>
          <w:tcPr>
            <w:tcW w:type="dxa" w:w="3173"/>
            <w:tcBorders>
              <w:top w:val="none" w:color="FFFFFF" w:sz="0"/>
              <w:left w:val="none" w:color="FFFFFF" w:sz="0"/>
              <w:bottom w:val="none" w:color="FFFFFF" w:sz="0"/>
              <w:right w:val="none" w:color="FFFFFF" w:sz="0"/>
            </w:tcBorders>
            <w:tcMar>
              <w:top w:type="dxa" w:w="20"/>
              <w:left w:type="dxa" w:w="0"/>
              <w:bottom w:type="dxa" w:w="20"/>
              <w:right w:type="dxa" w:w="120"/>
            </w:tcMar>
            <w:vAlign w:val="top"/>
          </w:tcPr>
          <w:p>
            <w:hyperlink w:history="1" r:id="rIdshhltesifp4pqimvum4r8">
              <w:r>
                <w:rPr>
                  <w:rStyle w:val="Hyperlink"/>
                </w:rPr>
                <w:t xml:space="preserve">javawithme.wordpress.com</w:t>
              </w:r>
            </w:hyperlink>
          </w:p>
        </w:tc>
      </w:tr>
    </w:tbl>
    <w:p>
      <w:pPr>
        <w:pBdr>
          <w:bottom w:val="single" w:color="262626" w:sz="8" w:space="1"/>
        </w:pBdr>
        <w:spacing w:after="0" w:before="120"/>
      </w:pPr>
    </w:p>
    <w:p>
      <w:pPr>
        <w:pBdr>
          <w:bottom w:val="single" w:color="1F3864" w:sz="6" w:space="2"/>
        </w:pBdr>
        <w:spacing w:after="140" w:before="260"/>
      </w:pPr>
      <w:r>
        <w:rPr>
          <w:b/>
          <w:bCs/>
          <w:color w:val="1F3864"/>
          <w:sz w:val="24"/>
          <w:szCs w:val="24"/>
        </w:rPr>
        <w:t xml:space="preserve">BERUFSPROFIL</w:t>
      </w:r>
    </w:p>
    <w:p>
      <w:pPr>
        <w:spacing w:after="80" w:line="300"/>
      </w:pPr>
      <w:r>
        <w:rPr>
          <w:color w:val="262626"/>
        </w:rPr>
        <w:t xml:space="preserve">Senior Full-Stack Java Engineer und Tech Lead mit über 22 Jahren Erfahrung in der Entwicklung geschäftskritischer, regulierter Bankensysteme für UBS, Credit Suisse, die Europäische Kommission und die Union Bank of Colombo. Übernahm während der Credit-Suisse-UBS-Fusion die Verantwortung für 6 Enterprise-Applikationen und lieferte die auditierte Archivierung termingerecht. Seit 2023 Einführung von LLM-, RAG- und Agentic-Automatisierung in regulierten Umgebungen — einschliesslich lokaler Modell-Inferenz, wo Daten die Bank nicht verlassen dürfen. Überzeugter Vertreter von TDD, Observability und Mentoring in Agile/SAFe-Umgebungen. Uneingeschränkt verfügbar für Applikationssupport und Pikettdienst.</w:t>
      </w:r>
    </w:p>
    <w:p>
      <w:pPr>
        <w:pBdr>
          <w:bottom w:val="single" w:color="1F3864" w:sz="6" w:space="2"/>
        </w:pBdr>
        <w:spacing w:after="140" w:before="260"/>
      </w:pPr>
      <w:r>
        <w:rPr>
          <w:b/>
          <w:bCs/>
          <w:color w:val="1F3864"/>
          <w:sz w:val="24"/>
          <w:szCs w:val="24"/>
        </w:rPr>
        <w:t xml:space="preserve">BERUFSERFAHRUNG</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1F3864"/>
                <w:sz w:val="20"/>
                <w:szCs w:val="20"/>
              </w:rPr>
              <w:t xml:space="preserve">01.2024 – heute</w:t>
            </w:r>
          </w:p>
          <w:p>
            <w:r>
              <w:rPr>
                <w:color w:val="595959"/>
                <w:sz w:val="18"/>
                <w:szCs w:val="18"/>
              </w:rPr>
              <w:t xml:space="preserve">Zürich, Schweiz</w:t>
            </w:r>
          </w:p>
        </w:tc>
        <w:tc>
          <w:tcPr>
            <w:tcW w:type="dxa" w:w="7846"/>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262626"/>
                <w:sz w:val="22"/>
                <w:szCs w:val="22"/>
              </w:rPr>
              <w:t xml:space="preserve">Senior Full-Stack Solution Engineer (Lead)</w:t>
            </w:r>
          </w:p>
          <w:p>
            <w:pPr>
              <w:spacing w:after="80"/>
            </w:pPr>
            <w:r>
              <w:rPr>
                <w:color w:val="595959"/>
              </w:rPr>
              <w:t xml:space="preserve">UBS / Cognizant</w:t>
            </w:r>
          </w:p>
          <w:p>
            <w:pPr>
              <w:pStyle w:val="ListParagraph"/>
              <w:numPr>
                <w:ilvl w:val="0"/>
                <w:numId w:val="2"/>
              </w:numPr>
              <w:spacing w:after="50"/>
            </w:pPr>
            <w:r>
              <w:rPr>
                <w:color w:val="262626"/>
              </w:rPr>
              <w:t xml:space="preserve">Vollständige Verantwortung für 6 komplexe Enterprise-Applikationen während der Credit-Suisse-UBS-Fusion — Systemstabilität ohne Betriebsunterbrüche.</w:t>
            </w:r>
          </w:p>
          <w:p>
            <w:pPr>
              <w:pStyle w:val="ListParagraph"/>
              <w:numPr>
                <w:ilvl w:val="0"/>
                <w:numId w:val="2"/>
              </w:numPr>
              <w:spacing w:after="50"/>
            </w:pPr>
            <w:r>
              <w:rPr>
                <w:color w:val="262626"/>
              </w:rPr>
              <w:t xml:space="preserve">Leitung der Applikations-Archivierungsinitiative mit 100 % termingerechter Lieferung unter auditpflichtigen Fristen; Entwicklung von Linux- und Oracle-CLI-Pipelines für regulierte Datenfeeds im Multi-Gigabyte-Bereich.</w:t>
            </w:r>
          </w:p>
          <w:p>
            <w:pPr>
              <w:pStyle w:val="ListParagraph"/>
              <w:numPr>
                <w:ilvl w:val="0"/>
                <w:numId w:val="2"/>
              </w:numPr>
              <w:spacing w:after="50"/>
            </w:pPr>
            <w:r>
              <w:rPr>
                <w:color w:val="262626"/>
              </w:rPr>
              <w:t xml:space="preserve">Konzeption und Produktivsetzung von LLM- und Agentic-RAG-Automatisierungen für interne Bankprozesse, integriert in bestehende Java-Services; lokale Llama-3-Inferenz für Daten, welche die Bank nicht verlassen dürfen.</w:t>
            </w:r>
          </w:p>
          <w:p>
            <w:pPr>
              <w:pStyle w:val="ListParagraph"/>
              <w:numPr>
                <w:ilvl w:val="0"/>
                <w:numId w:val="2"/>
              </w:numPr>
              <w:spacing w:after="50"/>
            </w:pPr>
            <w:r>
              <w:rPr>
                <w:color w:val="262626"/>
              </w:rPr>
              <w:t xml:space="preserve">Technischer Treiber für Standardisierung: Mentoring von Junior-Entwicklern, Leitung von Code-Reviews, Qualitätssicherung bei Testing, Observability und Zuverlässigkeit.</w:t>
            </w:r>
          </w:p>
          <w:p>
            <w:pPr>
              <w:pStyle w:val="ListParagraph"/>
              <w:numPr>
                <w:ilvl w:val="0"/>
                <w:numId w:val="2"/>
              </w:numPr>
              <w:spacing w:after="50"/>
            </w:pPr>
            <w:r>
              <w:rPr>
                <w:color w:val="262626"/>
              </w:rPr>
              <w:t xml:space="preserve">Verantwortung für geschäftskritische Produktionsincidents; vollständige Teilnahme am Pikettdienst.</w:t>
            </w:r>
          </w:p>
          <w:p>
            <w:pPr>
              <w:spacing w:after="0" w:before="60"/>
            </w:pPr>
            <w:r>
              <w:rPr>
                <w:b/>
                <w:bCs/>
                <w:i/>
                <w:iCs/>
                <w:color w:val="595959"/>
                <w:sz w:val="18"/>
                <w:szCs w:val="18"/>
              </w:rPr>
              <w:t xml:space="preserve">Stack: </w:t>
            </w:r>
            <w:r>
              <w:rPr>
                <w:i/>
                <w:iCs/>
                <w:color w:val="595959"/>
                <w:sz w:val="18"/>
                <w:szCs w:val="18"/>
              </w:rPr>
              <w:t xml:space="preserve">Java 17, Spring Boot, Kafka, Oracle, OpenShift/Kubernetes, Splunk, Grafana, Jenkins, n8n, LangChain, LlamaIndex, RAG/CAG, lokale + API-LLMs</w:t>
            </w:r>
          </w:p>
        </w:tc>
      </w:tr>
    </w:tbl>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1F3864"/>
                <w:sz w:val="20"/>
                <w:szCs w:val="20"/>
              </w:rPr>
              <w:t xml:space="preserve">05.2019 – 01.2024</w:t>
            </w:r>
          </w:p>
          <w:p>
            <w:r>
              <w:rPr>
                <w:color w:val="595959"/>
                <w:sz w:val="18"/>
                <w:szCs w:val="18"/>
              </w:rPr>
              <w:t xml:space="preserve">Zürich, Schweiz</w:t>
            </w:r>
          </w:p>
        </w:tc>
        <w:tc>
          <w:tcPr>
            <w:tcW w:type="dxa" w:w="7846"/>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262626"/>
                <w:sz w:val="22"/>
                <w:szCs w:val="22"/>
              </w:rPr>
              <w:t xml:space="preserve">IT Solution Developer</w:t>
            </w:r>
          </w:p>
          <w:p>
            <w:pPr>
              <w:spacing w:after="80"/>
            </w:pPr>
            <w:r>
              <w:rPr>
                <w:color w:val="595959"/>
              </w:rPr>
              <w:t xml:space="preserve">Credit Suisse / Cognizant</w:t>
            </w:r>
          </w:p>
          <w:p>
            <w:pPr>
              <w:pStyle w:val="ListParagraph"/>
              <w:numPr>
                <w:ilvl w:val="0"/>
                <w:numId w:val="2"/>
              </w:numPr>
              <w:spacing w:after="50"/>
            </w:pPr>
            <w:r>
              <w:rPr>
                <w:color w:val="262626"/>
              </w:rPr>
              <w:t xml:space="preserve">100 % Ownership für Design, Entwicklung und Deployment eines geschäftskritischen Master-Data-Management-Tools — die Golden Source der Bank für Suche und Reporting.</w:t>
            </w:r>
          </w:p>
          <w:p>
            <w:pPr>
              <w:pStyle w:val="ListParagraph"/>
              <w:numPr>
                <w:ilvl w:val="0"/>
                <w:numId w:val="2"/>
              </w:numPr>
              <w:spacing w:after="50"/>
            </w:pPr>
            <w:r>
              <w:rPr>
                <w:color w:val="262626"/>
              </w:rPr>
              <w:t xml:space="preserve">Aufbau der Greenfield-Suite für Client Lifecycle Management und Event Management; Architektur und Lieferung von drei skalierbaren Cloud-native-Applikationen (Spring Boot, React, Oracle, Microservices).</w:t>
            </w:r>
          </w:p>
          <w:p>
            <w:pPr>
              <w:pStyle w:val="ListParagraph"/>
              <w:numPr>
                <w:ilvl w:val="0"/>
                <w:numId w:val="2"/>
              </w:numPr>
              <w:spacing w:after="50"/>
            </w:pPr>
            <w:r>
              <w:rPr>
                <w:color w:val="262626"/>
              </w:rPr>
              <w:t xml:space="preserve">Entwicklung einer skalierbaren Front-Office-FX-Handelsplattform mit niedriger Latenz (Java 11–17); ca. 20 % höhere Responsiveness durch Multithreading und Memory-Tuning.</w:t>
            </w:r>
          </w:p>
          <w:p>
            <w:pPr>
              <w:pStyle w:val="ListParagraph"/>
              <w:numPr>
                <w:ilvl w:val="0"/>
                <w:numId w:val="2"/>
              </w:numPr>
              <w:spacing w:after="50"/>
            </w:pPr>
            <w:r>
              <w:rPr>
                <w:color w:val="262626"/>
              </w:rPr>
              <w:t xml:space="preserve">Eigenständiger Aufbau der kompletten CI/CD-Pipeline; schnelle Einführung von Angular für das UI.</w:t>
            </w:r>
          </w:p>
          <w:p>
            <w:pPr>
              <w:pStyle w:val="ListParagraph"/>
              <w:numPr>
                <w:ilvl w:val="0"/>
                <w:numId w:val="2"/>
              </w:numPr>
              <w:spacing w:after="50"/>
            </w:pPr>
            <w:r>
              <w:rPr>
                <w:color w:val="262626"/>
              </w:rPr>
              <w:t xml:space="preserve">Förderung der DevOps-Kultur (Kubernetes, Docker, Splunk, Grafana); TDD mit JUnit und Mockito im Scrum-Setup.</w:t>
            </w:r>
          </w:p>
          <w:p>
            <w:pPr>
              <w:spacing w:after="0" w:before="60"/>
            </w:pPr>
            <w:r>
              <w:rPr>
                <w:b/>
                <w:bCs/>
                <w:i/>
                <w:iCs/>
                <w:color w:val="595959"/>
                <w:sz w:val="18"/>
                <w:szCs w:val="18"/>
              </w:rPr>
              <w:t xml:space="preserve">Stack: </w:t>
            </w:r>
            <w:r>
              <w:rPr>
                <w:i/>
                <w:iCs/>
                <w:color w:val="595959"/>
                <w:sz w:val="18"/>
                <w:szCs w:val="18"/>
              </w:rPr>
              <w:t xml:space="preserve">Java 11–17, Spring Boot, Spring Data, React, GraphQL, Kafka, Liquibase, Oracle/PL-SQL, OpenShift, Kubernetes, Helm, Jenkins, Splunk, Grafana</w:t>
            </w:r>
          </w:p>
        </w:tc>
      </w:tr>
    </w:tbl>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1F3864"/>
                <w:sz w:val="20"/>
                <w:szCs w:val="20"/>
              </w:rPr>
              <w:t xml:space="preserve">01.2018 – 05.2019</w:t>
            </w:r>
          </w:p>
          <w:p>
            <w:r>
              <w:rPr>
                <w:color w:val="595959"/>
                <w:sz w:val="18"/>
                <w:szCs w:val="18"/>
              </w:rPr>
              <w:t xml:space="preserve">Zürich, Schweiz</w:t>
            </w:r>
          </w:p>
        </w:tc>
        <w:tc>
          <w:tcPr>
            <w:tcW w:type="dxa" w:w="7846"/>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262626"/>
                <w:sz w:val="22"/>
                <w:szCs w:val="22"/>
              </w:rPr>
              <w:t xml:space="preserve">IT Solution Development Specialist</w:t>
            </w:r>
          </w:p>
          <w:p>
            <w:pPr>
              <w:spacing w:after="80"/>
            </w:pPr>
            <w:r>
              <w:rPr>
                <w:color w:val="595959"/>
              </w:rPr>
              <w:t xml:space="preserve">UBS / Cognizant</w:t>
            </w:r>
          </w:p>
          <w:p>
            <w:pPr>
              <w:pStyle w:val="ListParagraph"/>
              <w:numPr>
                <w:ilvl w:val="0"/>
                <w:numId w:val="2"/>
              </w:numPr>
              <w:spacing w:after="50"/>
            </w:pPr>
            <w:r>
              <w:rPr>
                <w:color w:val="262626"/>
              </w:rPr>
              <w:t xml:space="preserve">Modernisierung von über 20 Legacy-Komponenten zu Spring-Boot-Microservices mit robusten Lösungsarchitekturen.</w:t>
            </w:r>
          </w:p>
          <w:p>
            <w:pPr>
              <w:pStyle w:val="ListParagraph"/>
              <w:numPr>
                <w:ilvl w:val="0"/>
                <w:numId w:val="2"/>
              </w:numPr>
              <w:spacing w:after="50"/>
            </w:pPr>
            <w:r>
              <w:rPr>
                <w:color w:val="262626"/>
              </w:rPr>
              <w:t xml:space="preserve">Automatisierung der Delivery-Pipelines mit Jenkins (statische Analyse, Deployments, Reporting); Migration von SVN zu Git.</w:t>
            </w:r>
          </w:p>
          <w:p>
            <w:pPr>
              <w:pStyle w:val="ListParagraph"/>
              <w:numPr>
                <w:ilvl w:val="0"/>
                <w:numId w:val="2"/>
              </w:numPr>
              <w:spacing w:after="50"/>
            </w:pPr>
            <w:r>
              <w:rPr>
                <w:color w:val="262626"/>
              </w:rPr>
              <w:t xml:space="preserve">Ausbau der Testabdeckung mit JUnit, Integrationstests und Cucumber BDD.</w:t>
            </w:r>
          </w:p>
        </w:tc>
      </w:tr>
    </w:tbl>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1F3864"/>
                <w:sz w:val="20"/>
                <w:szCs w:val="20"/>
              </w:rPr>
              <w:t xml:space="preserve">06.2011 – 01.2018</w:t>
            </w:r>
          </w:p>
          <w:p>
            <w:r>
              <w:rPr>
                <w:color w:val="595959"/>
                <w:sz w:val="18"/>
                <w:szCs w:val="18"/>
              </w:rPr>
              <w:t xml:space="preserve">Brüssel, Belgien</w:t>
            </w:r>
          </w:p>
        </w:tc>
        <w:tc>
          <w:tcPr>
            <w:tcW w:type="dxa" w:w="7846"/>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262626"/>
                <w:sz w:val="22"/>
                <w:szCs w:val="22"/>
              </w:rPr>
              <w:t xml:space="preserve">Senior Full-Stack Java Developer</w:t>
            </w:r>
          </w:p>
          <w:p>
            <w:pPr>
              <w:spacing w:after="80"/>
            </w:pPr>
            <w:r>
              <w:rPr>
                <w:color w:val="595959"/>
              </w:rPr>
              <w:t xml:space="preserve">Europäische Kommission (DIGIT)</w:t>
            </w:r>
          </w:p>
          <w:p>
            <w:pPr>
              <w:pStyle w:val="ListParagraph"/>
              <w:numPr>
                <w:ilvl w:val="0"/>
                <w:numId w:val="2"/>
              </w:numPr>
              <w:spacing w:after="50"/>
            </w:pPr>
            <w:r>
              <w:rPr>
                <w:color w:val="262626"/>
              </w:rPr>
              <w:t xml:space="preserve">Entwicklung und Betrieb des zentralen E-Procurement-Systems der EU — geschäftskritisch, mehrsprachig, öffentlicher Sektor — über 6,5 Jahre.</w:t>
            </w:r>
          </w:p>
          <w:p>
            <w:pPr>
              <w:pStyle w:val="ListParagraph"/>
              <w:numPr>
                <w:ilvl w:val="0"/>
                <w:numId w:val="2"/>
              </w:numPr>
              <w:spacing w:after="50"/>
            </w:pPr>
            <w:r>
              <w:rPr>
                <w:color w:val="262626"/>
              </w:rPr>
              <w:t xml:space="preserve">Verteilte Integrationsflüsse mit Spring Integration; JBPM-Workflows für Freigaben, Eskalationen und Audit-Trails.</w:t>
            </w:r>
          </w:p>
          <w:p>
            <w:pPr>
              <w:pStyle w:val="ListParagraph"/>
              <w:numPr>
                <w:ilvl w:val="0"/>
                <w:numId w:val="2"/>
              </w:numPr>
              <w:spacing w:after="50"/>
            </w:pPr>
            <w:r>
              <w:rPr>
                <w:color w:val="262626"/>
              </w:rPr>
              <w:t xml:space="preserve">Full-Stack-Lieferung (Angular, Spring/Hibernate, EJB3, Oracle, WebLogic); Release-Verantwortung und L3-Produktionssupport.</w:t>
            </w:r>
          </w:p>
        </w:tc>
      </w:tr>
    </w:tbl>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1F3864"/>
                <w:sz w:val="20"/>
                <w:szCs w:val="20"/>
              </w:rPr>
              <w:t xml:space="preserve">05.2004 – 06.2011</w:t>
            </w:r>
          </w:p>
          <w:p>
            <w:r>
              <w:rPr>
                <w:color w:val="595959"/>
                <w:sz w:val="18"/>
                <w:szCs w:val="18"/>
              </w:rPr>
              <w:t xml:space="preserve">Belgien &amp; Sri Lanka</w:t>
            </w:r>
          </w:p>
        </w:tc>
        <w:tc>
          <w:tcPr>
            <w:tcW w:type="dxa" w:w="7846"/>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262626"/>
                <w:sz w:val="22"/>
                <w:szCs w:val="22"/>
              </w:rPr>
              <w:t xml:space="preserve">Senior Java/JEE Consultant &amp; Engineer</w:t>
            </w:r>
          </w:p>
          <w:p>
            <w:pPr>
              <w:spacing w:after="80"/>
            </w:pPr>
            <w:r>
              <w:rPr>
                <w:color w:val="595959"/>
              </w:rPr>
              <w:t xml:space="preserve">Johnson &amp; Johnson, Nokia Siemens, Union Bank of Colombo u. a.</w:t>
            </w:r>
          </w:p>
          <w:p>
            <w:pPr>
              <w:pStyle w:val="ListParagraph"/>
              <w:numPr>
                <w:ilvl w:val="0"/>
                <w:numId w:val="2"/>
              </w:numPr>
              <w:spacing w:after="50"/>
            </w:pPr>
            <w:r>
              <w:rPr>
                <w:color w:val="262626"/>
              </w:rPr>
              <w:t xml:space="preserve">Technischer Berater in Healthcare, Telekommunikation, Banking und E-Commerce — Enterprise-Java/JEE-Lösungen.</w:t>
            </w:r>
          </w:p>
          <w:p>
            <w:pPr>
              <w:pStyle w:val="ListParagraph"/>
              <w:numPr>
                <w:ilvl w:val="0"/>
                <w:numId w:val="2"/>
              </w:numPr>
              <w:spacing w:after="50"/>
            </w:pPr>
            <w:r>
              <w:rPr>
                <w:color w:val="262626"/>
              </w:rPr>
              <w:t xml:space="preserve">Union Bank of Colombo: Kernbankenmodule — Kreditsystem, Leasing-Zahlungspläne, Scheck- und Sparbuchdruck (EJB2, JSP, DB2 auf AS/400).</w:t>
            </w:r>
          </w:p>
          <w:p>
            <w:pPr>
              <w:pStyle w:val="ListParagraph"/>
              <w:numPr>
                <w:ilvl w:val="0"/>
                <w:numId w:val="2"/>
              </w:numPr>
              <w:spacing w:after="50"/>
            </w:pPr>
            <w:r>
              <w:rPr>
                <w:color w:val="262626"/>
              </w:rPr>
              <w:t xml:space="preserve">Architektur-Modernisierung in Agile/Scrum; SOAP/REST-Integration; Optimierung von Oracle/MySQL.</w:t>
            </w:r>
          </w:p>
        </w:tc>
      </w:tr>
    </w:tbl>
    <w:p>
      <w:pPr>
        <w:pBdr>
          <w:bottom w:val="single" w:color="1F3864" w:sz="6" w:space="2"/>
        </w:pBdr>
        <w:spacing w:after="140" w:before="260"/>
      </w:pPr>
      <w:r>
        <w:rPr>
          <w:b/>
          <w:bCs/>
          <w:color w:val="1F3864"/>
          <w:sz w:val="24"/>
          <w:szCs w:val="24"/>
        </w:rPr>
        <w:t xml:space="preserve">AUSBILDUNG &amp; ZERTIFIZIERUNGEN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1F3864"/>
                <w:sz w:val="20"/>
                <w:szCs w:val="20"/>
              </w:rPr>
              <w:t xml:space="preserve">1999 – 2003</w:t>
            </w:r>
          </w:p>
          <w:p>
            <w:r>
              <w:rPr>
                <w:color w:val="595959"/>
                <w:sz w:val="18"/>
                <w:szCs w:val="18"/>
              </w:rPr>
              <w:t xml:space="preserve">Sri Lanka</w:t>
            </w:r>
          </w:p>
        </w:tc>
        <w:tc>
          <w:tcPr>
            <w:tcW w:type="dxa" w:w="7846"/>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20"/>
            </w:pPr>
            <w:r>
              <w:rPr>
                <w:b/>
                <w:bCs/>
                <w:color w:val="262626"/>
                <w:sz w:val="22"/>
                <w:szCs w:val="22"/>
              </w:rPr>
              <w:t xml:space="preserve">BSc in Computer Science, Statistik &amp; Mathematik</w:t>
            </w:r>
          </w:p>
          <w:p>
            <w:pPr>
              <w:spacing w:after="80"/>
            </w:pPr>
            <w:r>
              <w:rPr>
                <w:color w:val="595959"/>
              </w:rPr>
              <w:t xml:space="preserve">University of Sri Jayewardenepura</w:t>
            </w:r>
          </w:p>
          <w:p>
            <w:pPr>
              <w:pStyle w:val="ListParagraph"/>
              <w:numPr>
                <w:ilvl w:val="0"/>
                <w:numId w:val="2"/>
              </w:numPr>
              <w:spacing w:after="50"/>
            </w:pPr>
            <w:r>
              <w:rPr>
                <w:color w:val="262626"/>
              </w:rPr>
              <w:t xml:space="preserve">Sun Certified Enterprise Architect (SCEA); zudem SCJP, SCBCD und SCWCD.</w:t>
            </w:r>
          </w:p>
          <w:p>
            <w:pPr>
              <w:pStyle w:val="ListParagraph"/>
              <w:numPr>
                <w:ilvl w:val="0"/>
                <w:numId w:val="2"/>
              </w:numPr>
              <w:spacing w:after="50"/>
            </w:pPr>
            <w:r>
              <w:rPr>
                <w:color w:val="262626"/>
              </w:rPr>
              <w:t xml:space="preserve">Spring Certified Professional — in Vorbereitung (2026).</w:t>
            </w:r>
          </w:p>
        </w:tc>
      </w:tr>
    </w:tbl>
    <w:p>
      <w:pPr>
        <w:pBdr>
          <w:bottom w:val="single" w:color="1F3864" w:sz="6" w:space="2"/>
        </w:pBdr>
        <w:spacing w:after="140" w:before="260"/>
      </w:pPr>
      <w:r>
        <w:rPr>
          <w:b/>
          <w:bCs/>
          <w:color w:val="1F3864"/>
          <w:sz w:val="24"/>
          <w:szCs w:val="24"/>
        </w:rPr>
        <w:t xml:space="preserve">TECHNISCHE KENNTNISSE &amp; SPRACHEN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6200"/>
        <w:gridCol w:w="3546"/>
      </w:tblGrid>
      <w:tr>
        <w:tc>
          <w:tcPr>
            <w:tcW w:type="dxa" w:w="6200"/>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60"/>
            </w:pPr>
            <w:r>
              <w:rPr>
                <w:b/>
                <w:bCs/>
                <w:color w:val="262626"/>
              </w:rPr>
              <w:t xml:space="preserve">Programmiersprachen: </w:t>
            </w:r>
            <w:r>
              <w:rPr>
                <w:color w:val="262626"/>
              </w:rPr>
              <w:t xml:space="preserve">Java (11–17), SQL, TypeScript, Python</w:t>
            </w:r>
          </w:p>
          <w:p>
            <w:pPr>
              <w:spacing w:after="60"/>
            </w:pPr>
            <w:r>
              <w:rPr>
                <w:b/>
                <w:bCs/>
                <w:color w:val="262626"/>
              </w:rPr>
              <w:t xml:space="preserve">KI / LLM-Engineering: </w:t>
            </w:r>
            <w:r>
              <w:rPr>
                <w:color w:val="262626"/>
              </w:rPr>
              <w:t xml:space="preserve">LangChain, LlamaIndex, RAG/CAG-Patterns, Agentic Workflows (n8n), lokale LLM-Inferenz (Llama 3), Prompt- &amp; Parameter-Tuning</w:t>
            </w:r>
          </w:p>
          <w:p>
            <w:pPr>
              <w:spacing w:after="60"/>
            </w:pPr>
            <w:r>
              <w:rPr>
                <w:b/>
                <w:bCs/>
                <w:color w:val="262626"/>
              </w:rPr>
              <w:t xml:space="preserve">Architektur: </w:t>
            </w:r>
            <w:r>
              <w:rPr>
                <w:color w:val="262626"/>
              </w:rPr>
              <w:t xml:space="preserve">Microservices, Lösungsarchitektur, ereignisgesteuerte Systeme (Kafka), Multithreading, GraphQL, REST</w:t>
            </w:r>
          </w:p>
          <w:p>
            <w:pPr>
              <w:spacing w:after="60"/>
            </w:pPr>
            <w:r>
              <w:rPr>
                <w:b/>
                <w:bCs/>
                <w:color w:val="262626"/>
              </w:rPr>
              <w:t xml:space="preserve">Frameworks: </w:t>
            </w:r>
            <w:r>
              <w:rPr>
                <w:color w:val="262626"/>
              </w:rPr>
              <w:t xml:space="preserve">Spring Boot, Hibernate, React, Angular</w:t>
            </w:r>
          </w:p>
          <w:p>
            <w:pPr>
              <w:spacing w:after="60"/>
            </w:pPr>
            <w:r>
              <w:rPr>
                <w:b/>
                <w:bCs/>
                <w:color w:val="262626"/>
              </w:rPr>
              <w:t xml:space="preserve">DevOps &amp; Cloud: </w:t>
            </w:r>
            <w:r>
              <w:rPr>
                <w:color w:val="262626"/>
              </w:rPr>
              <w:t xml:space="preserve">Kubernetes/OpenShift, Docker, Jenkins, Grafana, Splunk</w:t>
            </w:r>
          </w:p>
          <w:p>
            <w:pPr>
              <w:spacing w:after="60"/>
            </w:pPr>
            <w:r>
              <w:rPr>
                <w:b/>
                <w:bCs/>
                <w:color w:val="262626"/>
              </w:rPr>
              <w:t xml:space="preserve">Testing &amp; Agile: </w:t>
            </w:r>
            <w:r>
              <w:rPr>
                <w:color w:val="262626"/>
              </w:rPr>
              <w:t xml:space="preserve">TDD, JUnit, Mockito, Cucumber, Jira, Scrum/SAFe</w:t>
            </w:r>
          </w:p>
        </w:tc>
        <w:tc>
          <w:tcPr>
            <w:tcW w:type="dxa" w:w="3546"/>
            <w:tcBorders>
              <w:top w:val="none" w:color="FFFFFF" w:sz="0"/>
              <w:left w:val="none" w:color="FFFFFF" w:sz="0"/>
              <w:bottom w:val="none" w:color="FFFFFF" w:sz="0"/>
              <w:right w:val="none" w:color="FFFFFF" w:sz="0"/>
            </w:tcBorders>
            <w:tcMar>
              <w:top w:type="dxa" w:w="20"/>
              <w:left w:type="dxa" w:w="0"/>
              <w:bottom w:type="dxa" w:w="20"/>
              <w:right w:type="dxa" w:w="120"/>
            </w:tcMar>
            <w:vAlign w:val="top"/>
          </w:tcPr>
          <w:p>
            <w:pPr>
              <w:spacing w:after="60"/>
            </w:pPr>
            <w:r>
              <w:rPr>
                <w:b/>
                <w:bCs/>
                <w:color w:val="262626"/>
              </w:rPr>
              <w:t xml:space="preserve">Englisch </w:t>
            </w:r>
            <w:r>
              <w:rPr>
                <w:color w:val="262626"/>
              </w:rPr>
              <w:t xml:space="preserve">— verhandlungssicher (C1/C2)</w:t>
            </w:r>
          </w:p>
          <w:p>
            <w:pPr>
              <w:spacing w:after="60"/>
            </w:pPr>
            <w:r>
              <w:rPr>
                <w:b/>
                <w:bCs/>
                <w:color w:val="262626"/>
              </w:rPr>
              <w:t xml:space="preserve">Deutsch </w:t>
            </w:r>
            <w:r>
              <w:rPr>
                <w:color w:val="262626"/>
              </w:rPr>
              <w:t xml:space="preserve">— Gut (B1), in aktiver Weiterbildung</w:t>
            </w:r>
          </w:p>
          <w:p>
            <w:pPr>
              <w:spacing w:after="60"/>
            </w:pPr>
            <w:r>
              <w:rPr>
                <w:b/>
                <w:bCs/>
                <w:color w:val="262626"/>
              </w:rPr>
              <w:t xml:space="preserve">Französisch &amp; Niederländisch </w:t>
            </w:r>
            <w:r>
              <w:rPr>
                <w:color w:val="262626"/>
              </w:rPr>
              <w:t xml:space="preserve">— Grundkenntnisse</w:t>
            </w:r>
          </w:p>
          <w:p>
            <w:pPr>
              <w:spacing w:after="60"/>
            </w:pPr>
            <w:r>
              <w:rPr>
                <w:b/>
                <w:bCs/>
                <w:color w:val="262626"/>
              </w:rPr>
              <w:t xml:space="preserve">Singhalesisch </w:t>
            </w:r>
            <w:r>
              <w:rPr>
                <w:color w:val="262626"/>
              </w:rPr>
              <w:t xml:space="preserve">— Muttersprache</w:t>
            </w:r>
          </w:p>
        </w:tc>
      </w:tr>
    </w:tbl>
    <w:p>
      <w:pPr>
        <w:spacing w:before="240"/>
      </w:pPr>
      <w:r>
        <w:rPr>
          <w:i/>
          <w:iCs/>
          <w:color w:val="595959"/>
        </w:rPr>
        <w:t xml:space="preserve">Ausgezeichnete Referenzen von UBS, Credit Suisse und der Europäischen Kommission auf Anfrage.</w:t>
      </w:r>
    </w:p>
    <w:sectPr>
      <w:pgSz w:w="11906" w:h="16838" w:orient="portrait"/>
      <w:pgMar w:top="900" w:right="1080" w:bottom="8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fitgpametjfwxe3kkf67" Type="http://schemas.openxmlformats.org/officeDocument/2006/relationships/hyperlink" Target="https://www.linkedin.com/in/janakapremathilaka" TargetMode="External"/><Relationship Id="rIdq5v1efac_tsjjyawldont" Type="http://schemas.openxmlformats.org/officeDocument/2006/relationships/hyperlink" Target="https://github.com/Janaka2" TargetMode="External"/><Relationship Id="rIdshhltesifp4pqimvum4r8" Type="http://schemas.openxmlformats.org/officeDocument/2006/relationships/hyperlink" Target="https://javawithme.wordpress.com" TargetMode="External"/><Relationship Id="rId7" Type="http://schemas.openxmlformats.org/officeDocument/2006/relationships/image" Target="media/b80688a5bf72edfb41df2dbde084039d71aa4383.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2026-06-11T15:10:01.097Z</dcterms:created>
  <dcterms:modified xsi:type="dcterms:W3CDTF">2026-06-11T15:10:01.097Z</dcterms:modified>
</cp:coreProperties>
</file>

<file path=docProps/custom.xml><?xml version="1.0" encoding="utf-8"?>
<Properties xmlns="http://schemas.openxmlformats.org/officeDocument/2006/custom-properties" xmlns:vt="http://schemas.openxmlformats.org/officeDocument/2006/docPropsVTypes"/>
</file>