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Enterprise Business Requirements Document (BRD)</w:t>
        <w:br/>
        <w:t>Investment Banking &amp; Asset Management Analytics Platform</w:t>
        <w:br/>
        <w:t>Client: BlackRock (Mock / Portfolio Project)</w:t>
      </w:r>
    </w:p>
    <w:p>
      <w:pPr>
        <w:pStyle w:val="Heading2"/>
      </w:pPr>
      <w:r>
        <w:t>1. Executive Summary</w:t>
      </w:r>
    </w:p>
    <w:p>
      <w:r>
        <w:t>This document defines detailed business, functional, and technical requirements for building an enterprise-scale Investment Banking and Asset Management analytics platform for a BlackRock-like client. The solution leverages Azure Data Factory (ADF), Azure Data Lake Gen2 (ADLS), Azure SQL Database, Azure Key Vault, and Power BI. The objective is to deliver trusted, secure, and scalable analytics covering Assets Under Management (AUM), fund performance, client exposure, holdings, and trading activity.</w:t>
      </w:r>
    </w:p>
    <w:p>
      <w:pPr>
        <w:pStyle w:val="Heading2"/>
      </w:pPr>
      <w:r>
        <w:t>2. Business Objectives</w:t>
      </w:r>
    </w:p>
    <w:p>
      <w:r>
        <w:t>- Enable senior leadership to track overall AUM growth and fund performance</w:t>
        <w:br/>
        <w:t>- Allow portfolio managers to analyze fund returns vs benchmarks</w:t>
        <w:br/>
        <w:t>- Provide risk teams visibility into client exposure by region and risk profile</w:t>
        <w:br/>
        <w:t>- Enable operations teams to monitor trading volume and buy/sell behavior</w:t>
        <w:br/>
        <w:t>- Establish governed, automated, and auditable data pipelines</w:t>
      </w:r>
    </w:p>
    <w:p>
      <w:pPr>
        <w:pStyle w:val="Heading2"/>
      </w:pPr>
      <w:r>
        <w:t>3. Stakeholders</w:t>
      </w:r>
    </w:p>
    <w:p>
      <w:r>
        <w:t>- CIO / Executive Management</w:t>
        <w:br/>
        <w:t>- Portfolio Managers</w:t>
        <w:br/>
        <w:t>- Investment Analysts</w:t>
        <w:br/>
        <w:t>- Risk &amp; Compliance Teams</w:t>
        <w:br/>
        <w:t>- Data Engineering &amp; BI Teams</w:t>
      </w:r>
    </w:p>
    <w:p>
      <w:pPr>
        <w:pStyle w:val="Heading2"/>
      </w:pPr>
      <w:r>
        <w:t>4. Source Data Overview</w:t>
      </w:r>
    </w:p>
    <w:p>
      <w:r>
        <w:t>Seven CSV datasets act as upstream source systems representing operational investment data.</w:t>
      </w:r>
    </w:p>
    <w:p>
      <w:pPr>
        <w:pStyle w:val="Heading2"/>
      </w:pPr>
      <w:r>
        <w:t>5. End-to-End Azure Architecture</w:t>
      </w:r>
    </w:p>
    <w:p>
      <w:r>
        <w:t>CSV Sources → Azure Data Factory → ADLS Gen2 (Raw Zone) → ADF Transformations → ADLS Gen2 (Curated Zone) → Azure SQL Database → Power BI Service</w:t>
      </w:r>
    </w:p>
    <w:p>
      <w:pPr>
        <w:pStyle w:val="Heading2"/>
      </w:pPr>
      <w:r>
        <w:t>6. Detailed ADF Pipeline Requirements</w:t>
      </w:r>
    </w:p>
    <w:p>
      <w:pPr>
        <w:pStyle w:val="Heading3"/>
      </w:pPr>
      <w:r>
        <w:t>6.1 Pipeline: Ingest_Raw_Investment_Data</w:t>
      </w:r>
    </w:p>
    <w:p>
      <w:r>
        <w:t>Purpose:</w:t>
        <w:br/>
        <w:t>Ingest raw CSV files into the Raw zone of ADLS Gen2 in a controlled and auditable manner.</w:t>
        <w:br/>
        <w:br/>
        <w:t>Trigger:</w:t>
        <w:br/>
        <w:t>- Time-based trigger (Daily)</w:t>
        <w:br/>
        <w:br/>
        <w:t>Activities:</w:t>
        <w:br/>
        <w:t>1. Get Metadata – Validate file existence and file size</w:t>
        <w:br/>
        <w:t>2. Lookup – Fetch file list and configuration metadata</w:t>
        <w:br/>
        <w:t>3. ForEach – Iterate over source files</w:t>
        <w:br/>
        <w:t>4. Copy Activity – Load CSVs into ADLS Raw container</w:t>
        <w:br/>
        <w:t>5. Set Variable – Capture row counts</w:t>
        <w:br/>
        <w:br/>
        <w:t>Error Handling:</w:t>
        <w:br/>
        <w:t>- On failure, move files to Error container</w:t>
        <w:br/>
        <w:t>- Log failure reason</w:t>
        <w:br/>
        <w:br/>
        <w:t>Output:</w:t>
        <w:br/>
        <w:t>- Raw CSV files stored without modification</w:t>
      </w:r>
    </w:p>
    <w:p>
      <w:pPr>
        <w:pStyle w:val="Heading3"/>
      </w:pPr>
      <w:r>
        <w:t>6.2 Pipeline: Data_Quality_And_Validation</w:t>
      </w:r>
    </w:p>
    <w:p>
      <w:r>
        <w:t>Purpose:</w:t>
        <w:br/>
        <w:t>Ensure data accuracy, completeness, and consistency before transformation.</w:t>
        <w:br/>
        <w:br/>
        <w:t>Activities:</w:t>
        <w:br/>
        <w:t>1. Data Flow Activity – Apply data quality rules</w:t>
        <w:br/>
        <w:t>2. Filter – Separate valid and invalid records</w:t>
        <w:br/>
        <w:t>3. If Condition – Route invalid records to Reject zone</w:t>
        <w:br/>
        <w:t>4. Copy Activity – Persist clean records</w:t>
        <w:br/>
        <w:br/>
        <w:t>Validations:</w:t>
        <w:br/>
        <w:t>- Null checks on business keys</w:t>
        <w:br/>
        <w:t>- Duplicate detection</w:t>
        <w:br/>
        <w:t>- Data type validation</w:t>
        <w:br/>
        <w:t>- Mandatory column checks</w:t>
      </w:r>
    </w:p>
    <w:p>
      <w:pPr>
        <w:pStyle w:val="Heading3"/>
      </w:pPr>
      <w:r>
        <w:t>6.3 Pipeline: Transform_To_Curated_Model</w:t>
      </w:r>
    </w:p>
    <w:p>
      <w:r>
        <w:t>Purpose:</w:t>
        <w:br/>
        <w:t>Transform raw data into analytics-ready, conformed datasets.</w:t>
        <w:br/>
        <w:br/>
        <w:t>Activities:</w:t>
        <w:br/>
        <w:t>1. Mapping Data Flow – Standardize columns</w:t>
        <w:br/>
        <w:t>2. Derived Column – Calculate surrogate keys</w:t>
        <w:br/>
        <w:t>3. Aggregate – Deduplicate data</w:t>
        <w:br/>
        <w:t>4. Window – Incremental load logic</w:t>
        <w:br/>
        <w:t>5. Sink – Write to Curated container</w:t>
        <w:br/>
        <w:br/>
        <w:t>Transformations:</w:t>
        <w:br/>
        <w:t>- Date normalization</w:t>
        <w:br/>
        <w:t>- Numeric precision standardization</w:t>
        <w:br/>
        <w:t>- Business rule enforcement</w:t>
      </w:r>
    </w:p>
    <w:p>
      <w:pPr>
        <w:pStyle w:val="Heading3"/>
      </w:pPr>
      <w:r>
        <w:t>6.4 Pipeline: Load_Azure_SQL_Star_Schema</w:t>
      </w:r>
    </w:p>
    <w:p>
      <w:r>
        <w:t>Purpose:</w:t>
        <w:br/>
        <w:t>Load curated data into Azure SQL Database using a star schema.</w:t>
        <w:br/>
        <w:br/>
        <w:t>Activities:</w:t>
        <w:br/>
        <w:t>1. Stored Procedure Activity – MERGE logic</w:t>
        <w:br/>
        <w:t>2. Lookup – Fetch last successful load watermark</w:t>
        <w:br/>
        <w:t>3. Copy Activity – Load dimension tables first</w:t>
        <w:br/>
        <w:t>4. Copy Activity – Load fact tables</w:t>
        <w:br/>
        <w:br/>
        <w:t>Controls:</w:t>
        <w:br/>
        <w:t>- Referential integrity</w:t>
        <w:br/>
        <w:t>- Surrogate key enforcement</w:t>
        <w:br/>
        <w:t>- Audit columns</w:t>
      </w:r>
    </w:p>
    <w:p>
      <w:pPr>
        <w:pStyle w:val="Heading3"/>
      </w:pPr>
      <w:r>
        <w:t>6.5 Pipeline: Audit_Logging_And_Monitoring</w:t>
      </w:r>
    </w:p>
    <w:p>
      <w:r>
        <w:t>Purpose:</w:t>
        <w:br/>
        <w:t>Capture execution metrics for governance and troubleshooting.</w:t>
        <w:br/>
        <w:br/>
        <w:t>Metrics Captured:</w:t>
        <w:br/>
        <w:t>- Pipeline name</w:t>
        <w:br/>
        <w:t>- Start/end time</w:t>
        <w:br/>
        <w:t>- Records processed</w:t>
        <w:br/>
        <w:t>- Status (Success/Failure)</w:t>
        <w:br/>
        <w:t>- Error messages</w:t>
        <w:br/>
        <w:br/>
        <w:t>Storage:</w:t>
        <w:br/>
        <w:t>- Azure SQL audit tables</w:t>
      </w:r>
    </w:p>
    <w:p>
      <w:pPr>
        <w:pStyle w:val="Heading2"/>
      </w:pPr>
      <w:r>
        <w:t>7. Security &amp; Governance</w:t>
      </w:r>
    </w:p>
    <w:p>
      <w:r>
        <w:t>- Azure Key Vault for secrets</w:t>
        <w:br/>
        <w:t>- Managed Identity for ADF</w:t>
        <w:br/>
        <w:t>- RBAC on ADLS containers</w:t>
        <w:br/>
        <w:t>- Row-Level Security in Power BI</w:t>
      </w:r>
    </w:p>
    <w:p>
      <w:pPr>
        <w:pStyle w:val="Heading2"/>
      </w:pPr>
      <w:r>
        <w:t>8. Power BI Report Design &amp; Visualization Standards</w:t>
      </w:r>
    </w:p>
    <w:p>
      <w:pPr>
        <w:pStyle w:val="Heading3"/>
      </w:pPr>
      <w:r>
        <w:t>8.1 Executive Overview Page</w:t>
      </w:r>
    </w:p>
    <w:p>
      <w:r>
        <w:t>KPIs:</w:t>
        <w:br/>
        <w:t>- Total AUM</w:t>
        <w:br/>
        <w:t>- YoY AUM Growth %</w:t>
        <w:br/>
        <w:t>- Total Market Value</w:t>
        <w:br/>
        <w:t>- Number of Active Funds</w:t>
        <w:br/>
        <w:br/>
        <w:t>Visuals:</w:t>
        <w:br/>
        <w:t>- KPI Cards (Top row)</w:t>
        <w:br/>
        <w:t>- Line chart: AUM trend over time</w:t>
        <w:br/>
        <w:t>- Bar chart: Top 10 funds by AUM</w:t>
        <w:br/>
        <w:t>- Slicer: Date, Region, Asset Class</w:t>
      </w:r>
    </w:p>
    <w:p>
      <w:pPr>
        <w:pStyle w:val="Heading3"/>
      </w:pPr>
      <w:r>
        <w:t>8.2 Fund Performance Page</w:t>
      </w:r>
    </w:p>
    <w:p>
      <w:r>
        <w:t>KPIs:</w:t>
        <w:br/>
        <w:t>- Fund Return %</w:t>
        <w:br/>
        <w:t>- Benchmark Return %</w:t>
        <w:br/>
        <w:t>- Alpha (Variance)</w:t>
        <w:br/>
        <w:br/>
        <w:t>Visuals:</w:t>
        <w:br/>
        <w:t>- Line chart: Fund vs Benchmark</w:t>
        <w:br/>
        <w:t>- Table: Fund-level performance metrics</w:t>
        <w:br/>
        <w:t>- Heatmap: Performance by asset class</w:t>
        <w:br/>
        <w:t>- Drill-through enabled</w:t>
      </w:r>
    </w:p>
    <w:p>
      <w:pPr>
        <w:pStyle w:val="Heading3"/>
      </w:pPr>
      <w:r>
        <w:t>8.3 Client Analytics Page</w:t>
      </w:r>
    </w:p>
    <w:p>
      <w:r>
        <w:t>KPIs:</w:t>
        <w:br/>
        <w:t>- Client AUM</w:t>
        <w:br/>
        <w:t>- Exposure by Risk Profile</w:t>
        <w:br/>
        <w:br/>
        <w:t>Visuals:</w:t>
        <w:br/>
        <w:t>- Donut chart: Risk profile distribution</w:t>
        <w:br/>
        <w:t>- Bar chart: Client AUM by region</w:t>
        <w:br/>
        <w:t>- Table: Top clients by market value</w:t>
      </w:r>
    </w:p>
    <w:p>
      <w:pPr>
        <w:pStyle w:val="Heading3"/>
      </w:pPr>
      <w:r>
        <w:t>8.4 Holdings &amp; Allocation Page</w:t>
      </w:r>
    </w:p>
    <w:p>
      <w:r>
        <w:t>KPIs:</w:t>
        <w:br/>
        <w:t>- Total Holdings Value</w:t>
        <w:br/>
        <w:t>- Asset Allocation %</w:t>
        <w:br/>
        <w:br/>
        <w:t>Visuals:</w:t>
        <w:br/>
        <w:t>- Treemap: Asset class allocation</w:t>
        <w:br/>
        <w:t>- Stacked bar: Region vs asset class</w:t>
        <w:br/>
        <w:t>- Table: Security-level holdings</w:t>
      </w:r>
    </w:p>
    <w:p>
      <w:pPr>
        <w:pStyle w:val="Heading3"/>
      </w:pPr>
      <w:r>
        <w:t>8.5 Trading Analysis Page</w:t>
      </w:r>
    </w:p>
    <w:p>
      <w:r>
        <w:t>KPIs:</w:t>
        <w:br/>
        <w:t>- Trade Volume</w:t>
        <w:br/>
        <w:t>- Trade Value</w:t>
        <w:br/>
        <w:t>- Buy vs Sell Ratio</w:t>
        <w:br/>
        <w:br/>
        <w:t>Visuals:</w:t>
        <w:br/>
        <w:t>- Column chart: Buy vs Sell</w:t>
        <w:br/>
        <w:t>- Line chart: Trade trends</w:t>
        <w:br/>
        <w:t>- Table: Trade-level details</w:t>
      </w:r>
    </w:p>
    <w:p>
      <w:pPr>
        <w:pStyle w:val="Heading3"/>
      </w:pPr>
      <w:r>
        <w:t>8.6 Drill-through &amp; Navigation</w:t>
      </w:r>
    </w:p>
    <w:p>
      <w:r>
        <w:t>- Drill-through from Fund → Security → Client</w:t>
        <w:br/>
        <w:t>- Tooltip pages for additional context</w:t>
        <w:br/>
        <w:t>- Consistent color themes and layout</w:t>
      </w:r>
    </w:p>
    <w:p>
      <w:pPr>
        <w:pStyle w:val="Heading2"/>
      </w:pPr>
      <w:r>
        <w:t>9. Non-Functional Requirements</w:t>
      </w:r>
    </w:p>
    <w:p>
      <w:r>
        <w:t>- Refresh SLA &lt; 24 hours</w:t>
        <w:br/>
        <w:t>- Optimized model (&lt;1GB)</w:t>
        <w:br/>
        <w:t>- Scalable to millions of rows</w:t>
        <w:br/>
        <w:t>- High availability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