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76" w:lineRule="auto"/>
      </w:pPr>
      <w:r>
        <w:rPr>
          <w:rFonts w:ascii="Arial" w:hAnsi="Arial" w:cs="Arial"/>
          <w:sz w:val="36"/>
          <w:szCs w:val="36"/>
          <w:b/>
          <w:bCs/>
        </w:rPr>
        <w:t xml:space="preserve">Jaswanth Rachamalla</w:t>
      </w:r>
    </w:p>
    <w:p>
      <w:pPr>
        <w:jc w:val="center"/>
        <w:spacing w:before="0" w:after="60" w:line="276" w:lineRule="auto"/>
      </w:pPr>
      <w:r>
        <w:rPr>
          <w:rFonts w:ascii="Arial" w:hAnsi="Arial" w:cs="Arial"/>
          <w:sz w:val="22"/>
          <w:szCs w:val="22"/>
        </w:rPr>
        <w:t xml:space="preserve">Senior Data Analyst</w:t>
      </w:r>
    </w:p>
    <w:p>
      <w:pPr>
        <w:jc w:val="center"/>
        <w:spacing w:before="0" w:after="20" w:line="276" w:lineRule="auto"/>
      </w:pPr>
      <w:r>
        <w:rPr>
          <w:rFonts w:ascii="Arial" w:hAnsi="Arial" w:cs="Arial"/>
          <w:sz w:val="21"/>
          <w:szCs w:val="21"/>
        </w:rPr>
        <w:t xml:space="preserve">jaswanthrachamalla@gmail.com</w:t>
      </w:r>
      <w:r>
        <w:rPr>
          <w:rFonts w:ascii="Arial" w:hAnsi="Arial" w:cs="Arial"/>
          <w:sz w:val="21"/>
          <w:szCs w:val="21"/>
        </w:rPr>
        <w:t xml:space="preserve">  |  </w:t>
      </w:r>
      <w:r>
        <w:rPr>
          <w:rFonts w:ascii="Arial" w:hAnsi="Arial" w:cs="Arial"/>
          <w:sz w:val="21"/>
          <w:szCs w:val="21"/>
        </w:rPr>
        <w:t xml:space="preserve">203-675-0645</w:t>
      </w:r>
      <w:r>
        <w:rPr>
          <w:rFonts w:ascii="Arial" w:hAnsi="Arial" w:cs="Arial"/>
          <w:sz w:val="21"/>
          <w:szCs w:val="21"/>
        </w:rPr>
        <w:t xml:space="preserve">  |  </w:t>
      </w:r>
      <w:r>
        <w:rPr>
          <w:rFonts w:ascii="Arial" w:hAnsi="Arial" w:cs="Arial"/>
          <w:sz w:val="21"/>
          <w:szCs w:val="21"/>
        </w:rPr>
        <w:t xml:space="preserve">New London</w:t>
      </w:r>
    </w:p>
    <w:p>
      <w:pPr>
        <w:jc w:val="center"/>
        <w:spacing w:before="0" w:after="120" w:line="276" w:lineRule="auto"/>
      </w:pPr>
      <w:hyperlink r:id="rId2">
        <w:r>
          <w:rPr>
            <w:rFonts w:ascii="Arial" w:hAnsi="Arial" w:cs="Arial"/>
            <w:sz w:val="21"/>
            <w:szCs w:val="21"/>
            <w:color w:val="0563C1"/>
            <w:u w:val="single"/>
          </w:rPr>
          <w:t xml:space="preserve">linkedin.com/in/jaswanth-reddy-rachamalla/</w:t>
        </w:r>
      </w:hyperlink>
    </w:p>
    <w:p>
      <w:pPr>
        <w:spacing w:before="120" w:after="40" w:line="276" w:lineRule="auto"/>
        <w:pBdr>
          <w:bottom w:val="single" w:sz="6" w:space="4" w:color="000000"/>
        </w:pBdr>
      </w:pPr>
      <w:r>
        <w:rPr>
          <w:rFonts w:ascii="Arial" w:hAnsi="Arial" w:cs="Arial"/>
          <w:sz w:val="22"/>
          <w:szCs w:val="22"/>
          <w:b/>
          <w:bCs/>
        </w:rPr>
        <w:t xml:space="preserve">PROFESSIONAL SUMMARY</w:t>
      </w:r>
    </w:p>
    <w:p>
      <w:pPr>
        <w:spacing w:before="60" w:after="40" w:line="276" w:lineRule="auto"/>
      </w:pPr>
      <w:r>
        <w:rPr>
          <w:rFonts w:ascii="Arial" w:hAnsi="Arial" w:cs="Arial"/>
          <w:sz w:val="21"/>
          <w:szCs w:val="21"/>
        </w:rPr>
        <w:t xml:space="preserve">Senior Data Analyst with 5+ years of experience in data analytics, billing analysis, contract management, and financial data reporting within insurance and telecommunications domains. Proven expertise in Excel data analysis, data management, ETL processes, and BI reporting to support contract billing compliance and business objectives. Skilled in analyzing large datasets, performing trend analysis, and improving internal controls using cloud platforms and machine learning techniques. Strong cross-functional collaboration and communication skills with experience delivering actionable insights for finance and accounting stakeholders. Adept at regulatory compliance, documentation systems, and contract documentation review aligned with industry standards.</w:t>
      </w:r>
    </w:p>
    <w:p>
      <w:pPr>
        <w:spacing w:before="120" w:after="40" w:line="276" w:lineRule="auto"/>
        <w:pBdr>
          <w:bottom w:val="single" w:sz="6" w:space="4" w:color="000000"/>
        </w:pBdr>
      </w:pPr>
      <w:r>
        <w:rPr>
          <w:rFonts w:ascii="Arial" w:hAnsi="Arial" w:cs="Arial"/>
          <w:sz w:val="22"/>
          <w:szCs w:val="22"/>
          <w:b/>
          <w:bCs/>
        </w:rPr>
        <w:t xml:space="preserve">TECHNICAL SKILLS</w:t>
      </w:r>
    </w:p>
    <w:p>
      <w:pPr>
        <w:spacing w:before="30" w:after="30" w:line="276" w:lineRule="auto"/>
      </w:pPr>
      <w:r>
        <w:rPr>
          <w:rFonts w:ascii="Arial" w:hAnsi="Arial" w:cs="Arial"/>
          <w:sz w:val="21"/>
          <w:szCs w:val="21"/>
          <w:b/>
          <w:bCs/>
        </w:rPr>
        <w:t xml:space="preserve">Advanced Data Analytics &amp; Reporting:</w:t>
      </w:r>
      <w:r>
        <w:rPr>
          <w:rFonts w:ascii="Arial" w:hAnsi="Arial" w:cs="Arial"/>
          <w:sz w:val="21"/>
          <w:szCs w:val="21"/>
        </w:rPr>
        <w:t xml:space="preserve">
</w:t>
      </w:r>
    </w:p>
    <w:p>
      <w:pPr>
        <w:spacing w:before="30" w:after="30" w:line="276" w:lineRule="auto"/>
      </w:pPr>
      <w:r>
        <w:rPr>
          <w:rFonts w:ascii="Arial" w:hAnsi="Arial" w:cs="Arial"/>
          <w:sz w:val="21"/>
          <w:szCs w:val="21"/>
        </w:rPr>
        <w:t xml:space="preserve">Excel (Pivot Tables, Macros, Advanced Formulas), Power BI, Tableau, Data Reporting, Trend Analysis
</w:t>
      </w:r>
    </w:p>
    <w:p>
      <w:pPr>
        <w:spacing w:before="30" w:after="30" w:line="276" w:lineRule="auto"/>
      </w:pPr>
      <w:r>
        <w:rPr>
          <w:rFonts w:ascii="Arial" w:hAnsi="Arial" w:cs="Arial"/>
          <w:sz w:val="21"/>
          <w:szCs w:val="21"/>
          <w:b/>
          <w:bCs/>
        </w:rPr>
        <w:t xml:space="preserve">Contract Billing &amp; Financial Analysis:</w:t>
      </w:r>
      <w:r>
        <w:rPr>
          <w:rFonts w:ascii="Arial" w:hAnsi="Arial" w:cs="Arial"/>
          <w:sz w:val="21"/>
          <w:szCs w:val="21"/>
        </w:rPr>
        <w:t xml:space="preserve">
</w:t>
      </w:r>
    </w:p>
    <w:p>
      <w:pPr>
        <w:spacing w:before="30" w:after="30" w:line="276" w:lineRule="auto"/>
      </w:pPr>
      <w:r>
        <w:rPr>
          <w:rFonts w:ascii="Arial" w:hAnsi="Arial" w:cs="Arial"/>
          <w:sz w:val="21"/>
          <w:szCs w:val="21"/>
        </w:rPr>
        <w:t xml:space="preserve">Contract Management, Billing Analysis, Finance Operations, Accounting Data Analysis, Revenue Reporting
</w:t>
      </w:r>
    </w:p>
    <w:p>
      <w:pPr>
        <w:spacing w:before="30" w:after="30" w:line="276" w:lineRule="auto"/>
      </w:pPr>
      <w:r>
        <w:rPr>
          <w:rFonts w:ascii="Arial" w:hAnsi="Arial" w:cs="Arial"/>
          <w:sz w:val="21"/>
          <w:szCs w:val="21"/>
          <w:b/>
          <w:bCs/>
        </w:rPr>
        <w:t xml:space="preserve">Data Engineering &amp; ETL Pipelines:</w:t>
      </w:r>
      <w:r>
        <w:rPr>
          <w:rFonts w:ascii="Arial" w:hAnsi="Arial" w:cs="Arial"/>
          <w:sz w:val="21"/>
          <w:szCs w:val="21"/>
        </w:rPr>
        <w:t xml:space="preserve">
</w:t>
      </w:r>
    </w:p>
    <w:p>
      <w:pPr>
        <w:spacing w:before="30" w:after="30" w:line="276" w:lineRule="auto"/>
      </w:pPr>
      <w:r>
        <w:rPr>
          <w:rFonts w:ascii="Arial" w:hAnsi="Arial" w:cs="Arial"/>
          <w:sz w:val="21"/>
          <w:szCs w:val="21"/>
        </w:rPr>
        <w:t xml:space="preserve">ETL Processes, Data Pipelines, Apache Spark, Data Integration, Workflow Automation
</w:t>
      </w:r>
    </w:p>
    <w:p>
      <w:pPr>
        <w:spacing w:before="30" w:after="30" w:line="276" w:lineRule="auto"/>
      </w:pPr>
      <w:r>
        <w:rPr>
          <w:rFonts w:ascii="Arial" w:hAnsi="Arial" w:cs="Arial"/>
          <w:sz w:val="21"/>
          <w:szCs w:val="21"/>
          <w:b/>
          <w:bCs/>
        </w:rPr>
        <w:t xml:space="preserve">Databases &amp; Data Warehousing:</w:t>
      </w:r>
      <w:r>
        <w:rPr>
          <w:rFonts w:ascii="Arial" w:hAnsi="Arial" w:cs="Arial"/>
          <w:sz w:val="21"/>
          <w:szCs w:val="21"/>
        </w:rPr>
        <w:t xml:space="preserve">
</w:t>
      </w:r>
    </w:p>
    <w:p>
      <w:pPr>
        <w:spacing w:before="30" w:after="30" w:line="276" w:lineRule="auto"/>
      </w:pPr>
      <w:r>
        <w:rPr>
          <w:rFonts w:ascii="Arial" w:hAnsi="Arial" w:cs="Arial"/>
          <w:sz w:val="21"/>
          <w:szCs w:val="21"/>
        </w:rPr>
        <w:t xml:space="preserve">SQL, Snowflake, Oracle, Data Warehousing, Data Modeling
</w:t>
      </w:r>
    </w:p>
    <w:p>
      <w:pPr>
        <w:spacing w:before="30" w:after="30" w:line="276" w:lineRule="auto"/>
      </w:pPr>
      <w:r>
        <w:rPr>
          <w:rFonts w:ascii="Arial" w:hAnsi="Arial" w:cs="Arial"/>
          <w:sz w:val="21"/>
          <w:szCs w:val="21"/>
          <w:b/>
          <w:bCs/>
        </w:rPr>
        <w:t xml:space="preserve">Cloud &amp; Distributed Systems:</w:t>
      </w:r>
      <w:r>
        <w:rPr>
          <w:rFonts w:ascii="Arial" w:hAnsi="Arial" w:cs="Arial"/>
          <w:sz w:val="21"/>
          <w:szCs w:val="21"/>
        </w:rPr>
        <w:t xml:space="preserve">
</w:t>
      </w:r>
    </w:p>
    <w:p>
      <w:pPr>
        <w:spacing w:before="30" w:after="30" w:line="276" w:lineRule="auto"/>
      </w:pPr>
      <w:r>
        <w:rPr>
          <w:rFonts w:ascii="Arial" w:hAnsi="Arial" w:cs="Arial"/>
          <w:sz w:val="21"/>
          <w:szCs w:val="21"/>
        </w:rPr>
        <w:t xml:space="preserve">AWS, Azure, Cloud Data Platforms, Distributed Computing
</w:t>
      </w:r>
    </w:p>
    <w:p>
      <w:pPr>
        <w:spacing w:before="30" w:after="30" w:line="276" w:lineRule="auto"/>
      </w:pPr>
      <w:r>
        <w:rPr>
          <w:rFonts w:ascii="Arial" w:hAnsi="Arial" w:cs="Arial"/>
          <w:sz w:val="21"/>
          <w:szCs w:val="21"/>
          <w:b/>
          <w:bCs/>
        </w:rPr>
        <w:t xml:space="preserve">Machine Learning &amp; Predictive Analytics:</w:t>
      </w:r>
      <w:r>
        <w:rPr>
          <w:rFonts w:ascii="Arial" w:hAnsi="Arial" w:cs="Arial"/>
          <w:sz w:val="21"/>
          <w:szCs w:val="21"/>
        </w:rPr>
        <w:t xml:space="preserve">
</w:t>
      </w:r>
    </w:p>
    <w:p>
      <w:pPr>
        <w:spacing w:before="30" w:after="30" w:line="276" w:lineRule="auto"/>
      </w:pPr>
      <w:r>
        <w:rPr>
          <w:rFonts w:ascii="Arial" w:hAnsi="Arial" w:cs="Arial"/>
          <w:sz w:val="21"/>
          <w:szCs w:val="21"/>
        </w:rPr>
        <w:t xml:space="preserve">Machine Learning, Statistical Modeling, Forecasting, Churn Prediction, Fraud Detection
</w:t>
      </w:r>
    </w:p>
    <w:p>
      <w:pPr>
        <w:spacing w:before="30" w:after="30" w:line="276" w:lineRule="auto"/>
      </w:pPr>
      <w:r>
        <w:rPr>
          <w:rFonts w:ascii="Arial" w:hAnsi="Arial" w:cs="Arial"/>
          <w:sz w:val="21"/>
          <w:szCs w:val="21"/>
          <w:b/>
          <w:bCs/>
        </w:rPr>
        <w:t xml:space="preserve">Data Governance &amp; Compliance:</w:t>
      </w:r>
      <w:r>
        <w:rPr>
          <w:rFonts w:ascii="Arial" w:hAnsi="Arial" w:cs="Arial"/>
          <w:sz w:val="21"/>
          <w:szCs w:val="21"/>
        </w:rPr>
        <w:t xml:space="preserve">
</w:t>
      </w:r>
    </w:p>
    <w:p>
      <w:pPr>
        <w:spacing w:before="30" w:after="30" w:line="276" w:lineRule="auto"/>
      </w:pPr>
      <w:r>
        <w:rPr>
          <w:rFonts w:ascii="Arial" w:hAnsi="Arial" w:cs="Arial"/>
          <w:sz w:val="21"/>
          <w:szCs w:val="21"/>
        </w:rPr>
        <w:t xml:space="preserve">Data Quality, Data Management, Regulatory Reporting, Internal Controls, Compliance Reviews
</w:t>
      </w:r>
    </w:p>
    <w:p>
      <w:pPr>
        <w:spacing w:before="30" w:after="30" w:line="276" w:lineRule="auto"/>
      </w:pPr>
      <w:r>
        <w:rPr>
          <w:rFonts w:ascii="Arial" w:hAnsi="Arial" w:cs="Arial"/>
          <w:sz w:val="21"/>
          <w:szCs w:val="21"/>
          <w:b/>
          <w:bCs/>
        </w:rPr>
        <w:t xml:space="preserve">Enterprise Tools &amp; Systems:</w:t>
      </w:r>
      <w:r>
        <w:rPr>
          <w:rFonts w:ascii="Arial" w:hAnsi="Arial" w:cs="Arial"/>
          <w:sz w:val="21"/>
          <w:szCs w:val="21"/>
        </w:rPr>
        <w:t xml:space="preserve">
</w:t>
      </w:r>
    </w:p>
    <w:p>
      <w:pPr>
        <w:spacing w:before="30" w:after="30" w:line="276" w:lineRule="auto"/>
      </w:pPr>
      <w:r>
        <w:rPr>
          <w:rFonts w:ascii="Arial" w:hAnsi="Arial" w:cs="Arial"/>
          <w:sz w:val="21"/>
          <w:szCs w:val="21"/>
        </w:rPr>
        <w:t xml:space="preserve">PeopleSoft FSCM, MS Excel, JIRA, Confluence, Documentation Systems
</w:t>
      </w:r>
    </w:p>
    <w:p>
      <w:pPr>
        <w:spacing w:before="30" w:after="30" w:line="276" w:lineRule="auto"/>
      </w:pPr>
      <w:r>
        <w:rPr>
          <w:rFonts w:ascii="Arial" w:hAnsi="Arial" w:cs="Arial"/>
          <w:sz w:val="21"/>
          <w:szCs w:val="21"/>
          <w:b/>
          <w:bCs/>
        </w:rPr>
        <w:t xml:space="preserve">Finance &amp; Contract Analytics Domain:</w:t>
      </w:r>
      <w:r>
        <w:rPr>
          <w:rFonts w:ascii="Arial" w:hAnsi="Arial" w:cs="Arial"/>
          <w:sz w:val="21"/>
          <w:szCs w:val="21"/>
        </w:rPr>
        <w:t xml:space="preserve">
</w:t>
      </w:r>
    </w:p>
    <w:p>
      <w:pPr>
        <w:spacing w:before="30" w:after="30" w:line="276" w:lineRule="auto"/>
      </w:pPr>
      <w:r>
        <w:rPr>
          <w:rFonts w:ascii="Arial" w:hAnsi="Arial" w:cs="Arial"/>
          <w:sz w:val="21"/>
          <w:szCs w:val="21"/>
        </w:rPr>
        <w:t xml:space="preserve">Insurance (Risk Analytics, Claims, Underwriting), Telecommunications (Customer Analytics, ARPU, Network Performance)</w:t>
      </w:r>
    </w:p>
    <w:p>
      <w:pPr>
        <w:spacing w:before="120" w:after="40" w:line="276" w:lineRule="auto"/>
        <w:pBdr>
          <w:bottom w:val="single" w:sz="6" w:space="4" w:color="000000"/>
        </w:pBdr>
      </w:pPr>
      <w:r>
        <w:rPr>
          <w:rFonts w:ascii="Arial" w:hAnsi="Arial" w:cs="Arial"/>
          <w:sz w:val="22"/>
          <w:szCs w:val="22"/>
          <w:b/>
          <w:bCs/>
        </w:rPr>
        <w:t xml:space="preserve">WORK EXPERIENCE</w:t>
      </w:r>
    </w:p>
    <w:p>
      <w:pPr>
        <w:spacing w:before="120" w:after="20" w:line="276" w:lineRule="auto"/>
        <w:tabs>
          <w:tab w:val="right" w:pos="10800"/>
        </w:tabs>
      </w:pPr>
      <w:r>
        <w:rPr>
          <w:rFonts w:ascii="Arial" w:hAnsi="Arial" w:cs="Arial"/>
          <w:sz w:val="22"/>
          <w:szCs w:val="22"/>
          <w:b/>
          <w:bCs/>
        </w:rPr>
        <w:t xml:space="preserve">Prudential Financial, New Jersey, USA</w:t>
      </w:r>
      <w:r>
        <w:tab/>
      </w:r>
      <w:r>
        <w:rPr>
          <w:rFonts w:ascii="Arial" w:hAnsi="Arial" w:cs="Arial"/>
          <w:sz w:val="21"/>
          <w:szCs w:val="21"/>
          <w:i/>
          <w:iCs/>
        </w:rPr>
        <w:t xml:space="preserve"/>
      </w:r>
    </w:p>
    <w:p>
      <w:pPr>
        <w:spacing w:before="0" w:after="40" w:line="276" w:lineRule="auto"/>
      </w:pPr>
      <w:r>
        <w:rPr>
          <w:rFonts w:ascii="Arial" w:hAnsi="Arial" w:cs="Arial"/>
          <w:sz w:val="21"/>
          <w:szCs w:val="21"/>
          <w:i/>
          <w:iCs/>
        </w:rPr>
        <w:t xml:space="preserve">Dec 2023 – Present | Senior Data Analyst</w:t>
      </w:r>
    </w:p>
    <w:p>
      <w:pPr>
        <w:spacing w:before="20" w:after="20" w:line="276" w:lineRule="auto"/>
        <w:numPr>
          <w:ilvl w:val="0"/>
          <w:numId w:val="1"/>
        </w:numPr>
      </w:pPr>
      <w:r>
        <w:rPr>
          <w:rFonts w:ascii="Arial" w:hAnsi="Arial" w:cs="Arial"/>
          <w:sz w:val="21"/>
          <w:szCs w:val="21"/>
        </w:rPr>
        <w:t xml:space="preserve">Led contract billing analysis for insurance products by analyzing large datasets using SQL and Excel, improving billing accuracy by 18% and ensuring compliance with finance and accounting standards</w:t>
      </w:r>
    </w:p>
    <w:p>
      <w:pPr>
        <w:spacing w:before="20" w:after="20" w:line="276" w:lineRule="auto"/>
        <w:numPr>
          <w:ilvl w:val="0"/>
          <w:numId w:val="1"/>
        </w:numPr>
      </w:pPr>
      <w:r>
        <w:rPr>
          <w:rFonts w:ascii="Arial" w:hAnsi="Arial" w:cs="Arial"/>
          <w:sz w:val="21"/>
          <w:szCs w:val="21"/>
        </w:rPr>
        <w:t xml:space="preserve">Developed automated ETL pipelines to integrate policy, claims, and billing data into Snowflake, reducing data processing time by 35%</w:t>
      </w:r>
    </w:p>
    <w:p>
      <w:pPr>
        <w:spacing w:before="20" w:after="20" w:line="276" w:lineRule="auto"/>
        <w:numPr>
          <w:ilvl w:val="0"/>
          <w:numId w:val="1"/>
        </w:numPr>
      </w:pPr>
      <w:r>
        <w:rPr>
          <w:rFonts w:ascii="Arial" w:hAnsi="Arial" w:cs="Arial"/>
          <w:sz w:val="21"/>
          <w:szCs w:val="21"/>
        </w:rPr>
        <w:t xml:space="preserve">Performed trend analysis on production data (daily, weekly, monthly) to identify anomalies, resulting in 22% faster issue resolution in billing operations</w:t>
      </w:r>
    </w:p>
    <w:p>
      <w:pPr>
        <w:spacing w:before="20" w:after="20" w:line="276" w:lineRule="auto"/>
        <w:numPr>
          <w:ilvl w:val="0"/>
          <w:numId w:val="1"/>
        </w:numPr>
      </w:pPr>
      <w:r>
        <w:rPr>
          <w:rFonts w:ascii="Arial" w:hAnsi="Arial" w:cs="Arial"/>
          <w:sz w:val="21"/>
          <w:szCs w:val="21"/>
        </w:rPr>
        <w:t xml:space="preserve">Evaluated internal controls and compliance frameworks for contract management, strengthening regulatory reporting and reducing audit findings by 15%</w:t>
      </w:r>
    </w:p>
    <w:p>
      <w:pPr>
        <w:spacing w:before="20" w:after="20" w:line="276" w:lineRule="auto"/>
        <w:numPr>
          <w:ilvl w:val="0"/>
          <w:numId w:val="1"/>
        </w:numPr>
      </w:pPr>
      <w:r>
        <w:rPr>
          <w:rFonts w:ascii="Arial" w:hAnsi="Arial" w:cs="Arial"/>
          <w:sz w:val="21"/>
          <w:szCs w:val="21"/>
        </w:rPr>
        <w:t xml:space="preserve">Built Power BI dashboards to present financial KPIs, contract billing metrics, and risk analytics insights to leadership, improving decision-making efficiency by 25%</w:t>
      </w:r>
    </w:p>
    <w:p>
      <w:pPr>
        <w:spacing w:before="20" w:after="20" w:line="276" w:lineRule="auto"/>
        <w:numPr>
          <w:ilvl w:val="0"/>
          <w:numId w:val="1"/>
        </w:numPr>
      </w:pPr>
      <w:r>
        <w:rPr>
          <w:rFonts w:ascii="Arial" w:hAnsi="Arial" w:cs="Arial"/>
          <w:sz w:val="21"/>
          <w:szCs w:val="21"/>
        </w:rPr>
        <w:t xml:space="preserve">Conducted contract documentation reviews and implemented standardized documentation systems, increasing data traceability and governance compliance</w:t>
      </w:r>
    </w:p>
    <w:p>
      <w:pPr>
        <w:spacing w:before="20" w:after="20" w:line="276" w:lineRule="auto"/>
        <w:numPr>
          <w:ilvl w:val="0"/>
          <w:numId w:val="1"/>
        </w:numPr>
      </w:pPr>
      <w:r>
        <w:rPr>
          <w:rFonts w:ascii="Arial" w:hAnsi="Arial" w:cs="Arial"/>
          <w:sz w:val="21"/>
          <w:szCs w:val="21"/>
        </w:rPr>
        <w:t xml:space="preserve">Collaborated cross-functionally with finance, underwriting, and IT teams to support billing system changes and ensure seamless data management processes</w:t>
      </w:r>
    </w:p>
    <w:p>
      <w:pPr>
        <w:spacing w:before="20" w:after="20" w:line="276" w:lineRule="auto"/>
        <w:numPr>
          <w:ilvl w:val="0"/>
          <w:numId w:val="1"/>
        </w:numPr>
      </w:pPr>
      <w:r>
        <w:rPr>
          <w:rFonts w:ascii="Arial" w:hAnsi="Arial" w:cs="Arial"/>
          <w:sz w:val="21"/>
          <w:szCs w:val="21"/>
        </w:rPr>
        <w:t xml:space="preserve">Applied machine learning models for fraud detection in claims and billing data, reducing fraudulent cases by 12%</w:t>
      </w:r>
    </w:p>
    <w:p>
      <w:pPr>
        <w:spacing w:before="30" w:after="30" w:line="276" w:lineRule="auto"/>
      </w:pPr>
      <w:r>
        <w:rPr>
          <w:rFonts w:ascii="Arial" w:hAnsi="Arial" w:cs="Arial"/>
          <w:sz w:val="21"/>
          <w:szCs w:val="21"/>
        </w:rPr>
        <w:t xml:space="preserve">Key Achievements:</w:t>
      </w:r>
    </w:p>
    <w:p>
      <w:pPr>
        <w:spacing w:before="20" w:after="20" w:line="276" w:lineRule="auto"/>
        <w:numPr>
          <w:ilvl w:val="0"/>
          <w:numId w:val="1"/>
        </w:numPr>
      </w:pPr>
      <w:r>
        <w:rPr>
          <w:rFonts w:ascii="Arial" w:hAnsi="Arial" w:cs="Arial"/>
          <w:sz w:val="21"/>
          <w:szCs w:val="21"/>
        </w:rPr>
        <w:t xml:space="preserve">Improved billing data accuracy by 18% through advanced Excel data analysis and contract validation</w:t>
      </w:r>
    </w:p>
    <w:p>
      <w:pPr>
        <w:spacing w:before="20" w:after="20" w:line="276" w:lineRule="auto"/>
        <w:numPr>
          <w:ilvl w:val="0"/>
          <w:numId w:val="1"/>
        </w:numPr>
      </w:pPr>
      <w:r>
        <w:rPr>
          <w:rFonts w:ascii="Arial" w:hAnsi="Arial" w:cs="Arial"/>
          <w:sz w:val="21"/>
          <w:szCs w:val="21"/>
        </w:rPr>
        <w:t xml:space="preserve">Reduced ETL pipeline processing time by 35% using optimized data engineering workflows</w:t>
      </w:r>
    </w:p>
    <w:p>
      <w:pPr>
        <w:spacing w:before="20" w:after="20" w:line="276" w:lineRule="auto"/>
        <w:numPr>
          <w:ilvl w:val="0"/>
          <w:numId w:val="1"/>
        </w:numPr>
      </w:pPr>
      <w:r>
        <w:rPr>
          <w:rFonts w:ascii="Arial" w:hAnsi="Arial" w:cs="Arial"/>
          <w:sz w:val="21"/>
          <w:szCs w:val="21"/>
        </w:rPr>
        <w:t xml:space="preserve">Enhanced compliance reporting efficiency by 25% through automated dashboards and governance improvements</w:t>
      </w:r>
    </w:p>
    <w:p>
      <w:pPr>
        <w:spacing w:before="120" w:after="20" w:line="276" w:lineRule="auto"/>
        <w:tabs>
          <w:tab w:val="right" w:pos="10800"/>
        </w:tabs>
      </w:pPr>
      <w:r>
        <w:rPr>
          <w:rFonts w:ascii="Arial" w:hAnsi="Arial" w:cs="Arial"/>
          <w:sz w:val="22"/>
          <w:szCs w:val="22"/>
          <w:b/>
          <w:bCs/>
        </w:rPr>
        <w:t xml:space="preserve">Verizon Communications, India</w:t>
      </w:r>
      <w:r>
        <w:tab/>
      </w:r>
      <w:r>
        <w:rPr>
          <w:rFonts w:ascii="Arial" w:hAnsi="Arial" w:cs="Arial"/>
          <w:sz w:val="21"/>
          <w:szCs w:val="21"/>
          <w:i/>
          <w:iCs/>
        </w:rPr>
        <w:t xml:space="preserve"/>
      </w:r>
    </w:p>
    <w:p>
      <w:pPr>
        <w:spacing w:before="0" w:after="40" w:line="276" w:lineRule="auto"/>
      </w:pPr>
      <w:r>
        <w:rPr>
          <w:rFonts w:ascii="Arial" w:hAnsi="Arial" w:cs="Arial"/>
          <w:sz w:val="21"/>
          <w:szCs w:val="21"/>
          <w:i/>
          <w:iCs/>
        </w:rPr>
        <w:t xml:space="preserve">Mar 2020 – Jul 2023 | Data Analyst</w:t>
      </w:r>
    </w:p>
    <w:p>
      <w:pPr>
        <w:spacing w:before="20" w:after="20" w:line="276" w:lineRule="auto"/>
        <w:numPr>
          <w:ilvl w:val="0"/>
          <w:numId w:val="1"/>
        </w:numPr>
      </w:pPr>
      <w:r>
        <w:rPr>
          <w:rFonts w:ascii="Arial" w:hAnsi="Arial" w:cs="Arial"/>
          <w:sz w:val="21"/>
          <w:szCs w:val="21"/>
        </w:rPr>
        <w:t xml:space="preserve">Analyzed customer and billing data using SQL and Excel to support contract billing operations and improve revenue tracking accuracy by 20%</w:t>
      </w:r>
    </w:p>
    <w:p>
      <w:pPr>
        <w:spacing w:before="20" w:after="20" w:line="276" w:lineRule="auto"/>
        <w:numPr>
          <w:ilvl w:val="0"/>
          <w:numId w:val="1"/>
        </w:numPr>
      </w:pPr>
      <w:r>
        <w:rPr>
          <w:rFonts w:ascii="Arial" w:hAnsi="Arial" w:cs="Arial"/>
          <w:sz w:val="21"/>
          <w:szCs w:val="21"/>
        </w:rPr>
        <w:t xml:space="preserve">Designed and maintained data pipelines for large-scale telecom datasets, enabling real-time analytics for over 5M subscribers</w:t>
      </w:r>
    </w:p>
    <w:p>
      <w:pPr>
        <w:spacing w:before="20" w:after="20" w:line="276" w:lineRule="auto"/>
        <w:numPr>
          <w:ilvl w:val="0"/>
          <w:numId w:val="1"/>
        </w:numPr>
      </w:pPr>
      <w:r>
        <w:rPr>
          <w:rFonts w:ascii="Arial" w:hAnsi="Arial" w:cs="Arial"/>
          <w:sz w:val="21"/>
          <w:szCs w:val="21"/>
        </w:rPr>
        <w:t xml:space="preserve">Conducted churn prediction and ARPU analysis using machine learning techniques, contributing to a 10% increase in customer retention</w:t>
      </w:r>
    </w:p>
    <w:p>
      <w:pPr>
        <w:spacing w:before="20" w:after="20" w:line="276" w:lineRule="auto"/>
        <w:numPr>
          <w:ilvl w:val="0"/>
          <w:numId w:val="1"/>
        </w:numPr>
      </w:pPr>
      <w:r>
        <w:rPr>
          <w:rFonts w:ascii="Arial" w:hAnsi="Arial" w:cs="Arial"/>
          <w:sz w:val="21"/>
          <w:szCs w:val="21"/>
        </w:rPr>
        <w:t xml:space="preserve">Performed contract management analysis and billing validation across multiple systems, ensuring consistency in financial reporting</w:t>
      </w:r>
    </w:p>
    <w:p>
      <w:pPr>
        <w:spacing w:before="20" w:after="20" w:line="276" w:lineRule="auto"/>
        <w:numPr>
          <w:ilvl w:val="0"/>
          <w:numId w:val="1"/>
        </w:numPr>
      </w:pPr>
      <w:r>
        <w:rPr>
          <w:rFonts w:ascii="Arial" w:hAnsi="Arial" w:cs="Arial"/>
          <w:sz w:val="21"/>
          <w:szCs w:val="21"/>
        </w:rPr>
        <w:t xml:space="preserve">Developed dashboards in Power BI to monitor network performance, billing trends, and customer usage patterns</w:t>
      </w:r>
    </w:p>
    <w:p>
      <w:pPr>
        <w:spacing w:before="20" w:after="20" w:line="276" w:lineRule="auto"/>
        <w:numPr>
          <w:ilvl w:val="0"/>
          <w:numId w:val="1"/>
        </w:numPr>
      </w:pPr>
      <w:r>
        <w:rPr>
          <w:rFonts w:ascii="Arial" w:hAnsi="Arial" w:cs="Arial"/>
          <w:sz w:val="21"/>
          <w:szCs w:val="21"/>
        </w:rPr>
        <w:t xml:space="preserve">Evaluated production data trends and recommended process improvements, reducing billing discrepancies by 17%</w:t>
      </w:r>
    </w:p>
    <w:p>
      <w:pPr>
        <w:spacing w:before="20" w:after="20" w:line="276" w:lineRule="auto"/>
        <w:numPr>
          <w:ilvl w:val="0"/>
          <w:numId w:val="1"/>
        </w:numPr>
      </w:pPr>
      <w:r>
        <w:rPr>
          <w:rFonts w:ascii="Arial" w:hAnsi="Arial" w:cs="Arial"/>
          <w:sz w:val="21"/>
          <w:szCs w:val="21"/>
        </w:rPr>
        <w:t xml:space="preserve">Supported compliance reviews and internal audits by maintaining accurate documentation and ensuring adherence to data governance policies</w:t>
      </w:r>
    </w:p>
    <w:p>
      <w:pPr>
        <w:spacing w:before="20" w:after="20" w:line="276" w:lineRule="auto"/>
        <w:numPr>
          <w:ilvl w:val="0"/>
          <w:numId w:val="1"/>
        </w:numPr>
      </w:pPr>
      <w:r>
        <w:rPr>
          <w:rFonts w:ascii="Arial" w:hAnsi="Arial" w:cs="Arial"/>
          <w:sz w:val="21"/>
          <w:szCs w:val="21"/>
        </w:rPr>
        <w:t xml:space="preserve">Collaborated with cross-functional teams to implement billing system enhancements and improve data management workflows</w:t>
      </w:r>
    </w:p>
    <w:p>
      <w:pPr>
        <w:spacing w:before="30" w:after="30" w:line="276" w:lineRule="auto"/>
      </w:pPr>
      <w:r>
        <w:rPr>
          <w:rFonts w:ascii="Arial" w:hAnsi="Arial" w:cs="Arial"/>
          <w:sz w:val="21"/>
          <w:szCs w:val="21"/>
        </w:rPr>
        <w:t xml:space="preserve">Key Achievements:</w:t>
      </w:r>
    </w:p>
    <w:p>
      <w:pPr>
        <w:spacing w:before="20" w:after="20" w:line="276" w:lineRule="auto"/>
        <w:numPr>
          <w:ilvl w:val="0"/>
          <w:numId w:val="1"/>
        </w:numPr>
      </w:pPr>
      <w:r>
        <w:rPr>
          <w:rFonts w:ascii="Arial" w:hAnsi="Arial" w:cs="Arial"/>
          <w:sz w:val="21"/>
          <w:szCs w:val="21"/>
        </w:rPr>
        <w:t xml:space="preserve">Increased revenue tracking accuracy by 20% through advanced billing and data analysis</w:t>
      </w:r>
    </w:p>
    <w:p>
      <w:pPr>
        <w:spacing w:before="20" w:after="20" w:line="276" w:lineRule="auto"/>
        <w:numPr>
          <w:ilvl w:val="0"/>
          <w:numId w:val="1"/>
        </w:numPr>
      </w:pPr>
      <w:r>
        <w:rPr>
          <w:rFonts w:ascii="Arial" w:hAnsi="Arial" w:cs="Arial"/>
          <w:sz w:val="21"/>
          <w:szCs w:val="21"/>
        </w:rPr>
        <w:t xml:space="preserve">Reduced billing discrepancies by 17% via process optimization and trend analysis</w:t>
      </w:r>
    </w:p>
    <w:p>
      <w:pPr>
        <w:spacing w:before="20" w:after="20" w:line="276" w:lineRule="auto"/>
        <w:numPr>
          <w:ilvl w:val="0"/>
          <w:numId w:val="1"/>
        </w:numPr>
      </w:pPr>
      <w:r>
        <w:rPr>
          <w:rFonts w:ascii="Arial" w:hAnsi="Arial" w:cs="Arial"/>
          <w:sz w:val="21"/>
          <w:szCs w:val="21"/>
        </w:rPr>
        <w:t xml:space="preserve">Improved customer retention by 10% using machine learning-driven churn prediction models</w:t>
      </w:r>
    </w:p>
    <w:p>
      <w:pPr>
        <w:spacing w:before="120" w:after="40" w:line="276" w:lineRule="auto"/>
        <w:pBdr>
          <w:bottom w:val="single" w:sz="6" w:space="4" w:color="000000"/>
        </w:pBdr>
      </w:pPr>
      <w:r>
        <w:rPr>
          <w:rFonts w:ascii="Arial" w:hAnsi="Arial" w:cs="Arial"/>
          <w:sz w:val="22"/>
          <w:szCs w:val="22"/>
          <w:b/>
          <w:bCs/>
        </w:rPr>
        <w:t xml:space="preserve">EDUCATION</w:t>
      </w:r>
    </w:p>
    <w:p>
      <w:pPr>
        <w:spacing w:before="100" w:after="20" w:line="276" w:lineRule="auto"/>
        <w:tabs>
          <w:tab w:val="right" w:pos="10800"/>
        </w:tabs>
      </w:pPr>
      <w:r>
        <w:rPr>
          <w:rFonts w:ascii="Arial" w:hAnsi="Arial" w:cs="Arial"/>
          <w:sz w:val="22"/>
          <w:szCs w:val="22"/>
          <w:b/>
          <w:bCs/>
        </w:rPr>
        <w:t xml:space="preserve">Master of Science in Computer Science</w:t>
      </w:r>
      <w:r>
        <w:tab/>
      </w:r>
      <w:r>
        <w:rPr>
          <w:rFonts w:ascii="Arial" w:hAnsi="Arial" w:cs="Arial"/>
          <w:sz w:val="21"/>
          <w:szCs w:val="21"/>
          <w:i/>
          <w:iCs/>
        </w:rPr>
        <w:t xml:space="preserve">Aug 2023 – May 2025</w:t>
      </w:r>
    </w:p>
    <w:p>
      <w:pPr>
        <w:spacing w:before="0" w:after="60" w:line="276" w:lineRule="auto"/>
      </w:pPr>
      <w:r>
        <w:rPr>
          <w:rFonts w:ascii="Arial" w:hAnsi="Arial" w:cs="Arial"/>
          <w:sz w:val="21"/>
          <w:szCs w:val="21"/>
        </w:rPr>
        <w:t xml:space="preserve">University of Bridgeport, Bridgeport, CT</w:t>
      </w:r>
    </w:p>
    <w:p>
      <w:pPr>
        <w:spacing w:before="100" w:after="20" w:line="276" w:lineRule="auto"/>
        <w:tabs>
          <w:tab w:val="right" w:pos="10800"/>
        </w:tabs>
      </w:pPr>
      <w:r>
        <w:rPr>
          <w:rFonts w:ascii="Arial" w:hAnsi="Arial" w:cs="Arial"/>
          <w:sz w:val="22"/>
          <w:szCs w:val="22"/>
          <w:b/>
          <w:bCs/>
        </w:rPr>
        <w:t xml:space="preserve">Bachelor of Technology in Information Technology</w:t>
      </w:r>
      <w:r>
        <w:tab/>
      </w:r>
      <w:r>
        <w:rPr>
          <w:rFonts w:ascii="Arial" w:hAnsi="Arial" w:cs="Arial"/>
          <w:sz w:val="21"/>
          <w:szCs w:val="21"/>
          <w:i/>
          <w:iCs/>
        </w:rPr>
        <w:t xml:space="preserve">Jul 2019 – May 2023</w:t>
      </w:r>
    </w:p>
    <w:p>
      <w:pPr>
        <w:spacing w:before="0" w:after="60" w:line="276" w:lineRule="auto"/>
      </w:pPr>
      <w:r>
        <w:rPr>
          <w:rFonts w:ascii="Arial" w:hAnsi="Arial" w:cs="Arial"/>
          <w:sz w:val="21"/>
          <w:szCs w:val="21"/>
        </w:rPr>
        <w:t xml:space="preserve">Vellore Institute of Technology, India</w:t>
      </w:r>
    </w:p>
    <w:p>
      <w:pPr>
        <w:spacing w:before="120" w:after="40" w:line="276" w:lineRule="auto"/>
        <w:pBdr>
          <w:bottom w:val="single" w:sz="6" w:space="4" w:color="000000"/>
        </w:pBdr>
      </w:pPr>
      <w:r>
        <w:rPr>
          <w:rFonts w:ascii="Arial" w:hAnsi="Arial" w:cs="Arial"/>
          <w:sz w:val="22"/>
          <w:szCs w:val="22"/>
          <w:b/>
          <w:bCs/>
        </w:rPr>
        <w:t xml:space="preserve">CERTIFICATIONS</w:t>
      </w:r>
    </w:p>
    <w:p>
      <w:pPr>
        <w:spacing w:before="20" w:after="20" w:line="276" w:lineRule="auto"/>
        <w:numPr>
          <w:ilvl w:val="0"/>
          <w:numId w:val="1"/>
        </w:numPr>
      </w:pPr>
      <w:r>
        <w:rPr>
          <w:rFonts w:ascii="Arial" w:hAnsi="Arial" w:cs="Arial"/>
          <w:sz w:val="21"/>
          <w:szCs w:val="21"/>
        </w:rPr>
        <w:t xml:space="preserve">AWS Certified Data Engineer</w:t>
      </w:r>
    </w:p>
    <w:p>
      <w:pPr>
        <w:spacing w:before="20" w:after="20" w:line="276" w:lineRule="auto"/>
        <w:numPr>
          <w:ilvl w:val="0"/>
          <w:numId w:val="1"/>
        </w:numPr>
      </w:pPr>
      <w:r>
        <w:rPr>
          <w:rFonts w:ascii="Arial" w:hAnsi="Arial" w:cs="Arial"/>
          <w:sz w:val="21"/>
          <w:szCs w:val="21"/>
        </w:rPr>
        <w:t xml:space="preserve">Salesforce Certified</w:t>
      </w:r>
    </w:p>
    <w:sectPr>
      <w:pgSz w:w="12240" w:h="15840"/>
      <w:pgMar w:top="720" w:right="720" w:bottom="720" w:left="72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80" w:hanging="36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rial" w:hAnsi="Arial" w:cs="Arial"/>
        <w:sz w:val="21"/>
        <w:szCs w:val="21"/>
      </w:rPr>
    </w:r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1" Type="http://schemas.openxmlformats.org/officeDocument/2006/relationships/hyperlink" Target="mailto:jaswanthrachamalla@gmail.com" TargetMode="External"/>
  <Relationship Id="rId2" Type="http://schemas.openxmlformats.org/officeDocument/2006/relationships/hyperlink" Target="https://linkedin.com/in/jaswanth-reddy-rachamalla/" TargetMode="External"/>
</Relationships>
</file>