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3151C" w14:textId="77777777" w:rsidR="00AE7B0E" w:rsidRDefault="00000000">
      <w:pPr>
        <w:jc w:val="center"/>
      </w:pPr>
      <w:r>
        <w:rPr>
          <w:b/>
          <w:sz w:val="32"/>
        </w:rPr>
        <w:t>Project Development Phase</w:t>
      </w:r>
    </w:p>
    <w:p w14:paraId="0E9DD9D2" w14:textId="77777777" w:rsidR="00AE7B0E" w:rsidRDefault="00000000">
      <w:pPr>
        <w:jc w:val="center"/>
      </w:pPr>
      <w:r>
        <w:rPr>
          <w:b/>
          <w:sz w:val="30"/>
        </w:rPr>
        <w:t>Platform Performance Test</w:t>
      </w:r>
    </w:p>
    <w:tbl>
      <w:tblPr>
        <w:tblStyle w:val="TableGrid"/>
        <w:tblW w:w="0" w:type="auto"/>
        <w:jc w:val="center"/>
        <w:tblLook w:val="04A0" w:firstRow="1" w:lastRow="0" w:firstColumn="1" w:lastColumn="0" w:noHBand="0" w:noVBand="1"/>
      </w:tblPr>
      <w:tblGrid>
        <w:gridCol w:w="2304"/>
        <w:gridCol w:w="8208"/>
      </w:tblGrid>
      <w:tr w:rsidR="00AE7B0E" w14:paraId="2E6EB7CE" w14:textId="77777777">
        <w:trPr>
          <w:jc w:val="center"/>
        </w:trPr>
        <w:tc>
          <w:tcPr>
            <w:tcW w:w="2304" w:type="dxa"/>
            <w:shd w:val="clear" w:color="auto" w:fill="D9EAF7"/>
            <w:vAlign w:val="center"/>
          </w:tcPr>
          <w:p w14:paraId="58BA1080" w14:textId="77777777" w:rsidR="00AE7B0E" w:rsidRDefault="00000000">
            <w:r>
              <w:rPr>
                <w:b/>
              </w:rPr>
              <w:t>Date</w:t>
            </w:r>
          </w:p>
        </w:tc>
        <w:tc>
          <w:tcPr>
            <w:tcW w:w="8208" w:type="dxa"/>
            <w:vAlign w:val="center"/>
          </w:tcPr>
          <w:p w14:paraId="7517D5B7" w14:textId="2A5A67CD" w:rsidR="00AE7B0E" w:rsidRDefault="00903F1A">
            <w:r>
              <w:t>14</w:t>
            </w:r>
            <w:r w:rsidR="00000000">
              <w:t xml:space="preserve"> October 2026</w:t>
            </w:r>
          </w:p>
        </w:tc>
      </w:tr>
      <w:tr w:rsidR="00AE7B0E" w14:paraId="357FE6B4" w14:textId="77777777">
        <w:trPr>
          <w:jc w:val="center"/>
        </w:trPr>
        <w:tc>
          <w:tcPr>
            <w:tcW w:w="2304" w:type="dxa"/>
            <w:shd w:val="clear" w:color="auto" w:fill="D9EAF7"/>
            <w:vAlign w:val="center"/>
          </w:tcPr>
          <w:p w14:paraId="688E2A15" w14:textId="77777777" w:rsidR="00AE7B0E" w:rsidRDefault="00000000">
            <w:r>
              <w:rPr>
                <w:b/>
              </w:rPr>
              <w:t>Project Name</w:t>
            </w:r>
          </w:p>
        </w:tc>
        <w:tc>
          <w:tcPr>
            <w:tcW w:w="8208" w:type="dxa"/>
            <w:vAlign w:val="center"/>
          </w:tcPr>
          <w:p w14:paraId="30F15613" w14:textId="77777777" w:rsidR="00AE7B0E" w:rsidRDefault="00000000">
            <w:r>
              <w:t>Automated Network Request Management in ServiceNow</w:t>
            </w:r>
          </w:p>
        </w:tc>
      </w:tr>
      <w:tr w:rsidR="00AE7B0E" w14:paraId="70696423" w14:textId="77777777">
        <w:trPr>
          <w:jc w:val="center"/>
        </w:trPr>
        <w:tc>
          <w:tcPr>
            <w:tcW w:w="2304" w:type="dxa"/>
            <w:shd w:val="clear" w:color="auto" w:fill="D9EAF7"/>
            <w:vAlign w:val="center"/>
          </w:tcPr>
          <w:p w14:paraId="06C24C07" w14:textId="77777777" w:rsidR="00AE7B0E" w:rsidRDefault="00000000">
            <w:r>
              <w:rPr>
                <w:b/>
              </w:rPr>
              <w:t>Maximum Marks</w:t>
            </w:r>
          </w:p>
        </w:tc>
        <w:tc>
          <w:tcPr>
            <w:tcW w:w="8208" w:type="dxa"/>
            <w:vAlign w:val="center"/>
          </w:tcPr>
          <w:p w14:paraId="66EB6AB4" w14:textId="77777777" w:rsidR="00AE7B0E" w:rsidRDefault="00AE7B0E"/>
        </w:tc>
      </w:tr>
    </w:tbl>
    <w:p w14:paraId="1633905F" w14:textId="77777777" w:rsidR="00AE7B0E" w:rsidRDefault="00AE7B0E"/>
    <w:p w14:paraId="53365784" w14:textId="77777777" w:rsidR="00AE7B0E" w:rsidRDefault="00000000">
      <w:r>
        <w:rPr>
          <w:b/>
          <w:sz w:val="24"/>
        </w:rPr>
        <w:t>Platform Performance Testing</w:t>
      </w:r>
    </w:p>
    <w:p w14:paraId="66C835F9" w14:textId="77777777" w:rsidR="00AE7B0E" w:rsidRDefault="00000000">
      <w:pPr>
        <w:spacing w:after="120"/>
      </w:pPr>
      <w:r>
        <w:t>This assessment adapts the supplied platform-performance template to the implemented ServiceNow solution. Salesforce-specific measurements are not applicable to this project. The evaluation therefore focuses on ServiceNow platform behaviour, workflow execution, data accuracy, approval handling, request lifecycle processing, notifications, and access control.</w:t>
      </w:r>
    </w:p>
    <w:tbl>
      <w:tblPr>
        <w:tblStyle w:val="TableGrid"/>
        <w:tblW w:w="0" w:type="auto"/>
        <w:jc w:val="center"/>
        <w:tblLook w:val="04A0" w:firstRow="1" w:lastRow="0" w:firstColumn="1" w:lastColumn="0" w:noHBand="0" w:noVBand="1"/>
      </w:tblPr>
      <w:tblGrid>
        <w:gridCol w:w="627"/>
        <w:gridCol w:w="1944"/>
        <w:gridCol w:w="4824"/>
        <w:gridCol w:w="2952"/>
      </w:tblGrid>
      <w:tr w:rsidR="00AE7B0E" w14:paraId="32046853" w14:textId="77777777">
        <w:trPr>
          <w:tblHeader/>
          <w:jc w:val="center"/>
        </w:trPr>
        <w:tc>
          <w:tcPr>
            <w:tcW w:w="605" w:type="dxa"/>
            <w:shd w:val="clear" w:color="auto" w:fill="B4C7E7"/>
            <w:vAlign w:val="center"/>
          </w:tcPr>
          <w:p w14:paraId="29CB7530" w14:textId="77777777" w:rsidR="00AE7B0E" w:rsidRDefault="00000000">
            <w:r>
              <w:rPr>
                <w:b/>
                <w:sz w:val="18"/>
              </w:rPr>
              <w:t>S.No.</w:t>
            </w:r>
          </w:p>
        </w:tc>
        <w:tc>
          <w:tcPr>
            <w:tcW w:w="1944" w:type="dxa"/>
            <w:shd w:val="clear" w:color="auto" w:fill="B4C7E7"/>
            <w:vAlign w:val="center"/>
          </w:tcPr>
          <w:p w14:paraId="7D5B8335" w14:textId="77777777" w:rsidR="00AE7B0E" w:rsidRDefault="00000000">
            <w:r>
              <w:rPr>
                <w:b/>
                <w:sz w:val="18"/>
              </w:rPr>
              <w:t>Parameter</w:t>
            </w:r>
          </w:p>
        </w:tc>
        <w:tc>
          <w:tcPr>
            <w:tcW w:w="4824" w:type="dxa"/>
            <w:shd w:val="clear" w:color="auto" w:fill="B4C7E7"/>
            <w:vAlign w:val="center"/>
          </w:tcPr>
          <w:p w14:paraId="3AC5811D" w14:textId="77777777" w:rsidR="00AE7B0E" w:rsidRDefault="00000000">
            <w:r>
              <w:rPr>
                <w:b/>
                <w:sz w:val="18"/>
              </w:rPr>
              <w:t>Values</w:t>
            </w:r>
          </w:p>
        </w:tc>
        <w:tc>
          <w:tcPr>
            <w:tcW w:w="2952" w:type="dxa"/>
            <w:shd w:val="clear" w:color="auto" w:fill="B4C7E7"/>
            <w:vAlign w:val="center"/>
          </w:tcPr>
          <w:p w14:paraId="45F70EED" w14:textId="77777777" w:rsidR="00AE7B0E" w:rsidRDefault="00000000">
            <w:r>
              <w:rPr>
                <w:b/>
                <w:sz w:val="18"/>
              </w:rPr>
              <w:t>Screenshot / Evidence</w:t>
            </w:r>
          </w:p>
        </w:tc>
      </w:tr>
      <w:tr w:rsidR="00AE7B0E" w14:paraId="3461DB7A" w14:textId="77777777">
        <w:trPr>
          <w:jc w:val="center"/>
        </w:trPr>
        <w:tc>
          <w:tcPr>
            <w:tcW w:w="605" w:type="dxa"/>
            <w:vAlign w:val="center"/>
          </w:tcPr>
          <w:p w14:paraId="6E2303E7" w14:textId="77777777" w:rsidR="00AE7B0E" w:rsidRDefault="00000000">
            <w:r>
              <w:rPr>
                <w:sz w:val="17"/>
              </w:rPr>
              <w:t>1</w:t>
            </w:r>
          </w:p>
        </w:tc>
        <w:tc>
          <w:tcPr>
            <w:tcW w:w="1944" w:type="dxa"/>
            <w:vAlign w:val="center"/>
          </w:tcPr>
          <w:p w14:paraId="5059A742" w14:textId="77777777" w:rsidR="00AE7B0E" w:rsidRDefault="00000000">
            <w:r>
              <w:rPr>
                <w:sz w:val="17"/>
              </w:rPr>
              <w:t>Platform Summary</w:t>
            </w:r>
          </w:p>
        </w:tc>
        <w:tc>
          <w:tcPr>
            <w:tcW w:w="4824" w:type="dxa"/>
            <w:vAlign w:val="center"/>
          </w:tcPr>
          <w:p w14:paraId="1A727003" w14:textId="77777777" w:rsidR="00AE7B0E" w:rsidRDefault="00000000">
            <w:r>
              <w:rPr>
                <w:sz w:val="17"/>
              </w:rPr>
              <w:t>ServiceNow-based network request automation using Service Catalog, catalog variables, Requester Information variable set, UI Policy, Flow Designer, REQ/RITM records, the configured Database Tables (u_database_tables) record, ACLs, approval handling, and email notifications.</w:t>
            </w:r>
          </w:p>
        </w:tc>
        <w:tc>
          <w:tcPr>
            <w:tcW w:w="2952" w:type="dxa"/>
            <w:vAlign w:val="center"/>
          </w:tcPr>
          <w:p w14:paraId="333FDF2F" w14:textId="77777777" w:rsidR="00AE7B0E" w:rsidRDefault="00000000">
            <w:r>
              <w:rPr>
                <w:sz w:val="17"/>
              </w:rPr>
              <w:t>Service Catalog / Network Request form; Flow Designer; Database Tables; ACLs; REQ/RITM screenshots.</w:t>
            </w:r>
          </w:p>
        </w:tc>
      </w:tr>
      <w:tr w:rsidR="00AE7B0E" w14:paraId="5B0C1E2B" w14:textId="77777777">
        <w:trPr>
          <w:jc w:val="center"/>
        </w:trPr>
        <w:tc>
          <w:tcPr>
            <w:tcW w:w="605" w:type="dxa"/>
            <w:vAlign w:val="center"/>
          </w:tcPr>
          <w:p w14:paraId="292DA326" w14:textId="77777777" w:rsidR="00AE7B0E" w:rsidRDefault="00000000">
            <w:r>
              <w:rPr>
                <w:sz w:val="17"/>
              </w:rPr>
              <w:t>2</w:t>
            </w:r>
          </w:p>
        </w:tc>
        <w:tc>
          <w:tcPr>
            <w:tcW w:w="1944" w:type="dxa"/>
            <w:vAlign w:val="center"/>
          </w:tcPr>
          <w:p w14:paraId="56D8BBC0" w14:textId="77777777" w:rsidR="00AE7B0E" w:rsidRDefault="00000000">
            <w:r>
              <w:rPr>
                <w:sz w:val="17"/>
              </w:rPr>
              <w:t>Request Data Accuracy</w:t>
            </w:r>
          </w:p>
        </w:tc>
        <w:tc>
          <w:tcPr>
            <w:tcW w:w="4824" w:type="dxa"/>
            <w:vAlign w:val="center"/>
          </w:tcPr>
          <w:p w14:paraId="53A79183" w14:textId="77777777" w:rsidR="00AE7B0E" w:rsidRDefault="00000000">
            <w:r>
              <w:rPr>
                <w:sz w:val="17"/>
              </w:rPr>
              <w:t>Validation focused on capture and mapping of Requested For, Mobile Number, Type of Connection, Total Amount, Mode of Payment, Address, Database Number, and Request Number. The mapped values are used to create the operational record and support approval processing.</w:t>
            </w:r>
          </w:p>
        </w:tc>
        <w:tc>
          <w:tcPr>
            <w:tcW w:w="2952" w:type="dxa"/>
            <w:vAlign w:val="center"/>
          </w:tcPr>
          <w:p w14:paraId="5E86237B" w14:textId="77777777" w:rsidR="00AE7B0E" w:rsidRDefault="00000000">
            <w:r>
              <w:rPr>
                <w:sz w:val="17"/>
              </w:rPr>
              <w:t>Catalog form and Flow Designer variable-mapping evidence; created Database Tables record.</w:t>
            </w:r>
          </w:p>
        </w:tc>
      </w:tr>
      <w:tr w:rsidR="00AE7B0E" w14:paraId="321FA493" w14:textId="77777777">
        <w:trPr>
          <w:jc w:val="center"/>
        </w:trPr>
        <w:tc>
          <w:tcPr>
            <w:tcW w:w="605" w:type="dxa"/>
            <w:vAlign w:val="center"/>
          </w:tcPr>
          <w:p w14:paraId="7AEE3474" w14:textId="77777777" w:rsidR="00AE7B0E" w:rsidRDefault="00000000">
            <w:r>
              <w:rPr>
                <w:sz w:val="17"/>
              </w:rPr>
              <w:t>3</w:t>
            </w:r>
          </w:p>
        </w:tc>
        <w:tc>
          <w:tcPr>
            <w:tcW w:w="1944" w:type="dxa"/>
            <w:vAlign w:val="center"/>
          </w:tcPr>
          <w:p w14:paraId="1F5F485E" w14:textId="77777777" w:rsidR="00AE7B0E" w:rsidRDefault="00000000">
            <w:r>
              <w:rPr>
                <w:sz w:val="17"/>
              </w:rPr>
              <w:t>Workflow Execution</w:t>
            </w:r>
          </w:p>
        </w:tc>
        <w:tc>
          <w:tcPr>
            <w:tcW w:w="4824" w:type="dxa"/>
            <w:vAlign w:val="center"/>
          </w:tcPr>
          <w:p w14:paraId="25680C4D" w14:textId="77777777" w:rsidR="00AE7B0E" w:rsidRDefault="00000000">
            <w:r>
              <w:rPr>
                <w:sz w:val="17"/>
              </w:rPr>
              <w:t>The Network Request flow retrieves catalog variables, creates the operational record, sends a request-created email, asks for approval, evaluates the approval result, updates the record, and sends the resolved notification on the approved path.</w:t>
            </w:r>
          </w:p>
        </w:tc>
        <w:tc>
          <w:tcPr>
            <w:tcW w:w="2952" w:type="dxa"/>
            <w:vAlign w:val="center"/>
          </w:tcPr>
          <w:p w14:paraId="23ACAAC2" w14:textId="77777777" w:rsidR="00AE7B0E" w:rsidRDefault="00000000">
            <w:r>
              <w:rPr>
                <w:sz w:val="17"/>
              </w:rPr>
              <w:t>Flow Designer execution / configuration evidence; approval and lifecycle screenshots.</w:t>
            </w:r>
          </w:p>
        </w:tc>
      </w:tr>
      <w:tr w:rsidR="00AE7B0E" w14:paraId="54465074" w14:textId="77777777">
        <w:trPr>
          <w:jc w:val="center"/>
        </w:trPr>
        <w:tc>
          <w:tcPr>
            <w:tcW w:w="605" w:type="dxa"/>
            <w:vAlign w:val="center"/>
          </w:tcPr>
          <w:p w14:paraId="02F97BEA" w14:textId="77777777" w:rsidR="00AE7B0E" w:rsidRDefault="00000000">
            <w:r>
              <w:rPr>
                <w:sz w:val="17"/>
              </w:rPr>
              <w:t>4</w:t>
            </w:r>
          </w:p>
        </w:tc>
        <w:tc>
          <w:tcPr>
            <w:tcW w:w="1944" w:type="dxa"/>
            <w:vAlign w:val="center"/>
          </w:tcPr>
          <w:p w14:paraId="381371B0" w14:textId="77777777" w:rsidR="00AE7B0E" w:rsidRDefault="00000000">
            <w:r>
              <w:rPr>
                <w:sz w:val="17"/>
              </w:rPr>
              <w:t>Approval Processing</w:t>
            </w:r>
          </w:p>
        </w:tc>
        <w:tc>
          <w:tcPr>
            <w:tcW w:w="4824" w:type="dxa"/>
            <w:vAlign w:val="center"/>
          </w:tcPr>
          <w:p w14:paraId="5CFD30D3" w14:textId="77777777" w:rsidR="00AE7B0E" w:rsidRDefault="00000000">
            <w:r>
              <w:rPr>
                <w:sz w:val="17"/>
              </w:rPr>
              <w:t>Approval is handled through the configured Ask for Approval action. The flow evaluates the approval result and branches to Approved or Rejected handling. Approval status is reflected in the operational record.</w:t>
            </w:r>
          </w:p>
        </w:tc>
        <w:tc>
          <w:tcPr>
            <w:tcW w:w="2952" w:type="dxa"/>
            <w:vAlign w:val="center"/>
          </w:tcPr>
          <w:p w14:paraId="7846EEDB" w14:textId="77777777" w:rsidR="00AE7B0E" w:rsidRDefault="00000000">
            <w:r>
              <w:rPr>
                <w:sz w:val="17"/>
              </w:rPr>
              <w:t>Ask for Approval configuration; approval record/status; Database Tables approval status.</w:t>
            </w:r>
          </w:p>
        </w:tc>
      </w:tr>
      <w:tr w:rsidR="00AE7B0E" w14:paraId="1DA0C10D" w14:textId="77777777">
        <w:trPr>
          <w:jc w:val="center"/>
        </w:trPr>
        <w:tc>
          <w:tcPr>
            <w:tcW w:w="605" w:type="dxa"/>
            <w:vAlign w:val="center"/>
          </w:tcPr>
          <w:p w14:paraId="28894696" w14:textId="77777777" w:rsidR="00AE7B0E" w:rsidRDefault="00000000">
            <w:r>
              <w:rPr>
                <w:sz w:val="17"/>
              </w:rPr>
              <w:t>5</w:t>
            </w:r>
          </w:p>
        </w:tc>
        <w:tc>
          <w:tcPr>
            <w:tcW w:w="1944" w:type="dxa"/>
            <w:vAlign w:val="center"/>
          </w:tcPr>
          <w:p w14:paraId="3565B72B" w14:textId="77777777" w:rsidR="00AE7B0E" w:rsidRDefault="00000000">
            <w:r>
              <w:rPr>
                <w:sz w:val="17"/>
              </w:rPr>
              <w:t>Request Lifecycle Performance</w:t>
            </w:r>
          </w:p>
        </w:tc>
        <w:tc>
          <w:tcPr>
            <w:tcW w:w="4824" w:type="dxa"/>
            <w:vAlign w:val="center"/>
          </w:tcPr>
          <w:p w14:paraId="1A30BBD3" w14:textId="77777777" w:rsidR="00AE7B0E" w:rsidRDefault="00000000">
            <w:r>
              <w:rPr>
                <w:sz w:val="17"/>
              </w:rPr>
              <w:t>The implemented lifecycle can be followed from catalog submission through REQ/RITM creation, approval, assessment/scope task stage, service provision, and completion. No numeric response-time benchmark is claimed because measured timing data was not supplied.</w:t>
            </w:r>
          </w:p>
        </w:tc>
        <w:tc>
          <w:tcPr>
            <w:tcW w:w="2952" w:type="dxa"/>
            <w:vAlign w:val="center"/>
          </w:tcPr>
          <w:p w14:paraId="5AA240E7" w14:textId="77777777" w:rsidR="00AE7B0E" w:rsidRDefault="00000000">
            <w:r>
              <w:rPr>
                <w:sz w:val="17"/>
              </w:rPr>
              <w:t>REQ0010014 / RITM0010018 lifecycle evidence and request-stage screenshots.</w:t>
            </w:r>
          </w:p>
        </w:tc>
      </w:tr>
      <w:tr w:rsidR="00AE7B0E" w14:paraId="0B7CF402" w14:textId="77777777">
        <w:trPr>
          <w:jc w:val="center"/>
        </w:trPr>
        <w:tc>
          <w:tcPr>
            <w:tcW w:w="605" w:type="dxa"/>
            <w:vAlign w:val="center"/>
          </w:tcPr>
          <w:p w14:paraId="3B1ACF1D" w14:textId="77777777" w:rsidR="00AE7B0E" w:rsidRDefault="00000000">
            <w:r>
              <w:rPr>
                <w:sz w:val="17"/>
              </w:rPr>
              <w:t>6</w:t>
            </w:r>
          </w:p>
        </w:tc>
        <w:tc>
          <w:tcPr>
            <w:tcW w:w="1944" w:type="dxa"/>
            <w:vAlign w:val="center"/>
          </w:tcPr>
          <w:p w14:paraId="0E8858A4" w14:textId="77777777" w:rsidR="00AE7B0E" w:rsidRDefault="00000000">
            <w:r>
              <w:rPr>
                <w:sz w:val="17"/>
              </w:rPr>
              <w:t>Notification Processing</w:t>
            </w:r>
          </w:p>
        </w:tc>
        <w:tc>
          <w:tcPr>
            <w:tcW w:w="4824" w:type="dxa"/>
            <w:vAlign w:val="center"/>
          </w:tcPr>
          <w:p w14:paraId="1FBD3B89" w14:textId="77777777" w:rsidR="00AE7B0E" w:rsidRDefault="00000000">
            <w:r>
              <w:rPr>
                <w:sz w:val="17"/>
              </w:rPr>
              <w:t>Email notification actions are configured for request creation and the approved/resolved path. The workflow provides status communication without requiring manual notification at each stage.</w:t>
            </w:r>
          </w:p>
        </w:tc>
        <w:tc>
          <w:tcPr>
            <w:tcW w:w="2952" w:type="dxa"/>
            <w:vAlign w:val="center"/>
          </w:tcPr>
          <w:p w14:paraId="39A1B3D6" w14:textId="77777777" w:rsidR="00AE7B0E" w:rsidRDefault="00000000">
            <w:r>
              <w:rPr>
                <w:sz w:val="17"/>
              </w:rPr>
              <w:t>Flow Designer Send Email actions and corresponding notification evidence.</w:t>
            </w:r>
          </w:p>
        </w:tc>
      </w:tr>
      <w:tr w:rsidR="00AE7B0E" w14:paraId="580AEC2B" w14:textId="77777777">
        <w:trPr>
          <w:jc w:val="center"/>
        </w:trPr>
        <w:tc>
          <w:tcPr>
            <w:tcW w:w="605" w:type="dxa"/>
            <w:vAlign w:val="center"/>
          </w:tcPr>
          <w:p w14:paraId="53A9AD58" w14:textId="77777777" w:rsidR="00AE7B0E" w:rsidRDefault="00000000">
            <w:r>
              <w:rPr>
                <w:sz w:val="17"/>
              </w:rPr>
              <w:t>7</w:t>
            </w:r>
          </w:p>
        </w:tc>
        <w:tc>
          <w:tcPr>
            <w:tcW w:w="1944" w:type="dxa"/>
            <w:vAlign w:val="center"/>
          </w:tcPr>
          <w:p w14:paraId="2F6BE0C9" w14:textId="77777777" w:rsidR="00AE7B0E" w:rsidRDefault="00000000">
            <w:r>
              <w:rPr>
                <w:sz w:val="17"/>
              </w:rPr>
              <w:t>Security &amp; Access</w:t>
            </w:r>
          </w:p>
        </w:tc>
        <w:tc>
          <w:tcPr>
            <w:tcW w:w="4824" w:type="dxa"/>
            <w:vAlign w:val="center"/>
          </w:tcPr>
          <w:p w14:paraId="589B545D" w14:textId="77777777" w:rsidR="00AE7B0E" w:rsidRDefault="00000000">
            <w:r>
              <w:rPr>
                <w:sz w:val="17"/>
              </w:rPr>
              <w:t>Four active ACLs are configured for Create, Write, Read, and Delete on the Database Tables custom table. Access control is therefore part of the platform validation boundary.</w:t>
            </w:r>
          </w:p>
        </w:tc>
        <w:tc>
          <w:tcPr>
            <w:tcW w:w="2952" w:type="dxa"/>
            <w:vAlign w:val="center"/>
          </w:tcPr>
          <w:p w14:paraId="5A00495A" w14:textId="77777777" w:rsidR="00AE7B0E" w:rsidRDefault="00000000">
            <w:r>
              <w:rPr>
                <w:sz w:val="17"/>
              </w:rPr>
              <w:t>ACL configuration screenshots for u_database_tables.</w:t>
            </w:r>
          </w:p>
        </w:tc>
      </w:tr>
      <w:tr w:rsidR="00AE7B0E" w14:paraId="216DD412" w14:textId="77777777">
        <w:trPr>
          <w:jc w:val="center"/>
        </w:trPr>
        <w:tc>
          <w:tcPr>
            <w:tcW w:w="605" w:type="dxa"/>
            <w:vAlign w:val="center"/>
          </w:tcPr>
          <w:p w14:paraId="36130BBB" w14:textId="77777777" w:rsidR="00AE7B0E" w:rsidRDefault="00000000">
            <w:r>
              <w:rPr>
                <w:sz w:val="17"/>
              </w:rPr>
              <w:t>8</w:t>
            </w:r>
          </w:p>
        </w:tc>
        <w:tc>
          <w:tcPr>
            <w:tcW w:w="1944" w:type="dxa"/>
            <w:vAlign w:val="center"/>
          </w:tcPr>
          <w:p w14:paraId="13B5E42C" w14:textId="77777777" w:rsidR="00AE7B0E" w:rsidRDefault="00000000">
            <w:r>
              <w:rPr>
                <w:sz w:val="17"/>
              </w:rPr>
              <w:t>Platform / Integration Accuracy</w:t>
            </w:r>
          </w:p>
        </w:tc>
        <w:tc>
          <w:tcPr>
            <w:tcW w:w="4824" w:type="dxa"/>
            <w:vAlign w:val="center"/>
          </w:tcPr>
          <w:p w14:paraId="43FF1A4A" w14:textId="77777777" w:rsidR="00AE7B0E" w:rsidRDefault="00000000">
            <w:r>
              <w:rPr>
                <w:sz w:val="17"/>
              </w:rPr>
              <w:t>The current implementation is contained within ServiceNow. No external network-device API, payment gateway, SMS/WhatsApp integration, or third-party analytics platform is claimed as implemented.</w:t>
            </w:r>
          </w:p>
        </w:tc>
        <w:tc>
          <w:tcPr>
            <w:tcW w:w="2952" w:type="dxa"/>
            <w:vAlign w:val="center"/>
          </w:tcPr>
          <w:p w14:paraId="2CA06C77" w14:textId="77777777" w:rsidR="00AE7B0E" w:rsidRDefault="00000000">
            <w:r>
              <w:rPr>
                <w:sz w:val="17"/>
              </w:rPr>
              <w:t>ServiceNow configuration and workflow evidence; current technology boundary.</w:t>
            </w:r>
          </w:p>
        </w:tc>
      </w:tr>
      <w:tr w:rsidR="00AE7B0E" w14:paraId="0E599065" w14:textId="77777777">
        <w:trPr>
          <w:jc w:val="center"/>
        </w:trPr>
        <w:tc>
          <w:tcPr>
            <w:tcW w:w="605" w:type="dxa"/>
            <w:vAlign w:val="center"/>
          </w:tcPr>
          <w:p w14:paraId="0D6D6AEB" w14:textId="77777777" w:rsidR="00AE7B0E" w:rsidRDefault="00000000">
            <w:r>
              <w:rPr>
                <w:sz w:val="17"/>
              </w:rPr>
              <w:t>9</w:t>
            </w:r>
          </w:p>
        </w:tc>
        <w:tc>
          <w:tcPr>
            <w:tcW w:w="1944" w:type="dxa"/>
            <w:vAlign w:val="center"/>
          </w:tcPr>
          <w:p w14:paraId="39AB6B93" w14:textId="77777777" w:rsidR="00AE7B0E" w:rsidRDefault="00000000">
            <w:r>
              <w:rPr>
                <w:sz w:val="17"/>
              </w:rPr>
              <w:t>ML / Confidence Score</w:t>
            </w:r>
          </w:p>
        </w:tc>
        <w:tc>
          <w:tcPr>
            <w:tcW w:w="4824" w:type="dxa"/>
            <w:vAlign w:val="center"/>
          </w:tcPr>
          <w:p w14:paraId="004AB4B5" w14:textId="77777777" w:rsidR="00AE7B0E" w:rsidRDefault="00000000">
            <w:r>
              <w:rPr>
                <w:sz w:val="17"/>
              </w:rPr>
              <w:t>N/A. No machine-learning or YOLO/object-detection model is used in the current implementation. The workflow is configuration-driven and deterministic, so an ML confidence score is not applicable.</w:t>
            </w:r>
          </w:p>
        </w:tc>
        <w:tc>
          <w:tcPr>
            <w:tcW w:w="2952" w:type="dxa"/>
            <w:vAlign w:val="center"/>
          </w:tcPr>
          <w:p w14:paraId="4D03301C" w14:textId="77777777" w:rsidR="00AE7B0E" w:rsidRDefault="00000000">
            <w:r>
              <w:rPr>
                <w:sz w:val="17"/>
              </w:rPr>
              <w:t>Not Applicable.</w:t>
            </w:r>
          </w:p>
        </w:tc>
      </w:tr>
    </w:tbl>
    <w:p w14:paraId="1D053BF9" w14:textId="77777777" w:rsidR="00AE7B0E" w:rsidRDefault="00AE7B0E"/>
    <w:p w14:paraId="6CDA8BA8" w14:textId="77777777" w:rsidR="00AE7B0E" w:rsidRDefault="00000000">
      <w:r>
        <w:rPr>
          <w:b/>
          <w:sz w:val="24"/>
        </w:rPr>
        <w:t>Performance Test Conclusion</w:t>
      </w:r>
    </w:p>
    <w:p w14:paraId="172CA1D2" w14:textId="77777777" w:rsidR="00AE7B0E" w:rsidRDefault="00000000">
      <w:pPr>
        <w:spacing w:after="80"/>
      </w:pPr>
      <w:r>
        <w:t>The ServiceNow implementation demonstrates platform-level functional performance across the request submission, variable retrieval, operational-record creation, approval, branching, notification, lifecycle tracking, and access-control stages. The available evidence supports configuration and execution validation rather than a numerical load/performance benchmark.</w:t>
      </w:r>
    </w:p>
    <w:p w14:paraId="2648BD72" w14:textId="77777777" w:rsidR="00AE7B0E" w:rsidRDefault="00000000">
      <w:r>
        <w:rPr>
          <w:b/>
          <w:sz w:val="22"/>
        </w:rPr>
        <w:t>Current Boundary</w:t>
      </w:r>
    </w:p>
    <w:p w14:paraId="4F98952E" w14:textId="77777777" w:rsidR="00AE7B0E" w:rsidRDefault="00000000">
      <w:r>
        <w:rPr>
          <w:sz w:val="19"/>
        </w:rPr>
        <w:t>This test does not claim production-scale load results, external network-device execution, payment processing, external messaging, Power BI analytics, or ML-model performance because those capabilities are outside the current implementation evidence.</w:t>
      </w:r>
    </w:p>
    <w:sectPr w:rsidR="00AE7B0E"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8887356">
    <w:abstractNumId w:val="8"/>
  </w:num>
  <w:num w:numId="2" w16cid:durableId="1990017412">
    <w:abstractNumId w:val="6"/>
  </w:num>
  <w:num w:numId="3" w16cid:durableId="887424000">
    <w:abstractNumId w:val="5"/>
  </w:num>
  <w:num w:numId="4" w16cid:durableId="1126238087">
    <w:abstractNumId w:val="4"/>
  </w:num>
  <w:num w:numId="5" w16cid:durableId="449856597">
    <w:abstractNumId w:val="7"/>
  </w:num>
  <w:num w:numId="6" w16cid:durableId="962152161">
    <w:abstractNumId w:val="3"/>
  </w:num>
  <w:num w:numId="7" w16cid:durableId="1089351576">
    <w:abstractNumId w:val="2"/>
  </w:num>
  <w:num w:numId="8" w16cid:durableId="1420635050">
    <w:abstractNumId w:val="1"/>
  </w:num>
  <w:num w:numId="9" w16cid:durableId="637102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E5BD8"/>
    <w:rsid w:val="00903F1A"/>
    <w:rsid w:val="00AA1D8D"/>
    <w:rsid w:val="00AE7B0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E0F043"/>
  <w14:defaultImageDpi w14:val="300"/>
  <w15:docId w15:val="{6A3FA603-2D69-442D-96B3-010F2F99A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620</Words>
  <Characters>3538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Janani S</cp:lastModifiedBy>
  <cp:revision>2</cp:revision>
  <dcterms:created xsi:type="dcterms:W3CDTF">2013-12-23T23:15:00Z</dcterms:created>
  <dcterms:modified xsi:type="dcterms:W3CDTF">2026-10-13T13:14:00Z</dcterms:modified>
  <cp:category/>
</cp:coreProperties>
</file>