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AE4184">
      <w:pPr>
        <w:spacing w:line="500" w:lineRule="exact"/>
        <w:ind w:left="227" w:right="712"/>
        <w:jc w:val="both"/>
        <w:rPr>
          <w:b/>
          <w:sz w:val="44"/>
        </w:rPr>
      </w:pPr>
      <w:r>
        <w:rPr>
          <w:b/>
          <w:sz w:val="44"/>
        </w:rPr>
        <w:t>NANDHA ENGINEERING COLLEGE</w:t>
      </w:r>
    </w:p>
    <w:p w14:paraId="59142DC8">
      <w:pPr>
        <w:spacing w:line="500" w:lineRule="exact"/>
        <w:ind w:left="227" w:right="712"/>
        <w:jc w:val="both"/>
        <w:rPr>
          <w:b/>
          <w:sz w:val="44"/>
        </w:rPr>
      </w:pPr>
    </w:p>
    <w:p w14:paraId="762D40C6">
      <w:pPr>
        <w:spacing w:line="500" w:lineRule="exact"/>
        <w:ind w:left="227" w:right="712"/>
        <w:jc w:val="both"/>
        <w:rPr>
          <w:b/>
          <w:sz w:val="44"/>
        </w:rPr>
      </w:pPr>
      <w:r>
        <w:rPr>
          <w:b/>
          <w:sz w:val="44"/>
        </w:rPr>
        <w:t>(Autonomous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Institution)</w:t>
      </w:r>
    </w:p>
    <w:p w14:paraId="411AD415">
      <w:pPr>
        <w:spacing w:line="503" w:lineRule="exact"/>
        <w:ind w:left="227" w:right="699"/>
        <w:jc w:val="both"/>
        <w:rPr>
          <w:sz w:val="44"/>
        </w:rPr>
      </w:pPr>
    </w:p>
    <w:p w14:paraId="3D46EFB0">
      <w:pPr>
        <w:spacing w:line="503" w:lineRule="exact"/>
        <w:ind w:left="227" w:right="699"/>
        <w:jc w:val="both"/>
        <w:rPr>
          <w:sz w:val="44"/>
        </w:rPr>
      </w:pPr>
      <w:r>
        <w:rPr>
          <w:sz w:val="44"/>
        </w:rPr>
        <w:t>Erode-638 052</w:t>
      </w:r>
    </w:p>
    <w:p w14:paraId="65660668">
      <w:pPr>
        <w:pStyle w:val="13"/>
        <w:ind w:left="227"/>
        <w:jc w:val="both"/>
        <w:rPr>
          <w:sz w:val="20"/>
        </w:rPr>
      </w:pPr>
    </w:p>
    <w:p w14:paraId="1610AAF6">
      <w:pPr>
        <w:pStyle w:val="13"/>
        <w:spacing w:before="8"/>
        <w:ind w:left="227"/>
        <w:jc w:val="both"/>
        <w:rPr>
          <w:sz w:val="21"/>
        </w:rPr>
      </w:pPr>
    </w:p>
    <w:p w14:paraId="187B576B">
      <w:pPr>
        <w:spacing w:before="196"/>
        <w:ind w:left="227" w:right="726"/>
        <w:jc w:val="both"/>
        <w:rPr>
          <w:b/>
          <w:sz w:val="4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2143760</wp:posOffset>
            </wp:positionH>
            <wp:positionV relativeFrom="paragraph">
              <wp:posOffset>678180</wp:posOffset>
            </wp:positionV>
            <wp:extent cx="3046730" cy="2176780"/>
            <wp:effectExtent l="0" t="0" r="1270" b="0"/>
            <wp:wrapTopAndBottom/>
            <wp:docPr id="1" name="image1.jpeg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55240">
      <w:pPr>
        <w:spacing w:before="196"/>
        <w:ind w:left="227" w:right="726"/>
        <w:jc w:val="both"/>
        <w:rPr>
          <w:b/>
          <w:sz w:val="40"/>
        </w:rPr>
      </w:pPr>
    </w:p>
    <w:p w14:paraId="68C14BCC">
      <w:pPr>
        <w:spacing w:before="196"/>
        <w:ind w:left="227" w:right="726"/>
        <w:jc w:val="both"/>
        <w:rPr>
          <w:b/>
          <w:sz w:val="40"/>
        </w:rPr>
      </w:pPr>
      <w:r>
        <w:rPr>
          <w:b/>
          <w:sz w:val="40"/>
        </w:rPr>
        <w:t>TABLEAU-TWO CREDIT COURSE</w:t>
      </w:r>
      <w:r>
        <w:rPr>
          <w:b/>
          <w:sz w:val="40"/>
        </w:rPr>
        <w:tab/>
      </w:r>
    </w:p>
    <w:p w14:paraId="5A85B630">
      <w:pPr>
        <w:spacing w:before="196"/>
        <w:ind w:left="2387" w:right="726" w:firstLine="493"/>
        <w:jc w:val="both"/>
        <w:rPr>
          <w:b/>
          <w:sz w:val="40"/>
        </w:rPr>
      </w:pPr>
      <w:r>
        <w:rPr>
          <w:b/>
          <w:sz w:val="40"/>
        </w:rPr>
        <w:t>IV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–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Semester</w:t>
      </w:r>
    </w:p>
    <w:p w14:paraId="79AAC985">
      <w:pPr>
        <w:spacing w:before="1"/>
        <w:ind w:right="713"/>
        <w:jc w:val="both"/>
        <w:rPr>
          <w:b/>
          <w:sz w:val="32"/>
        </w:rPr>
      </w:pPr>
      <w:r>
        <w:rPr>
          <w:b/>
          <w:sz w:val="32"/>
        </w:rPr>
        <w:t xml:space="preserve">       </w:t>
      </w:r>
    </w:p>
    <w:p w14:paraId="7F8C3843">
      <w:pPr>
        <w:spacing w:before="1"/>
        <w:ind w:right="713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    B.Tech</w:t>
      </w:r>
      <w:r>
        <w:rPr>
          <w:b/>
          <w:spacing w:val="-11"/>
          <w:sz w:val="36"/>
          <w:szCs w:val="24"/>
        </w:rPr>
        <w:t xml:space="preserve"> </w:t>
      </w:r>
      <w:r>
        <w:rPr>
          <w:b/>
          <w:sz w:val="36"/>
          <w:szCs w:val="24"/>
        </w:rPr>
        <w:t>-</w:t>
      </w:r>
      <w:r>
        <w:rPr>
          <w:b/>
          <w:spacing w:val="-7"/>
          <w:sz w:val="36"/>
          <w:szCs w:val="24"/>
        </w:rPr>
        <w:t xml:space="preserve"> </w:t>
      </w:r>
      <w:r>
        <w:rPr>
          <w:b/>
          <w:sz w:val="36"/>
          <w:szCs w:val="24"/>
        </w:rPr>
        <w:t>Artificial Intelligence</w:t>
      </w:r>
      <w:r>
        <w:rPr>
          <w:b/>
          <w:spacing w:val="-10"/>
          <w:sz w:val="36"/>
          <w:szCs w:val="24"/>
        </w:rPr>
        <w:t xml:space="preserve"> </w:t>
      </w:r>
      <w:r>
        <w:rPr>
          <w:b/>
          <w:sz w:val="36"/>
          <w:szCs w:val="24"/>
        </w:rPr>
        <w:t>and</w:t>
      </w:r>
      <w:r>
        <w:rPr>
          <w:b/>
          <w:spacing w:val="-16"/>
          <w:sz w:val="36"/>
          <w:szCs w:val="24"/>
        </w:rPr>
        <w:t xml:space="preserve"> </w:t>
      </w:r>
      <w:r>
        <w:rPr>
          <w:b/>
          <w:sz w:val="36"/>
          <w:szCs w:val="24"/>
        </w:rPr>
        <w:t>Data</w:t>
      </w:r>
      <w:r>
        <w:rPr>
          <w:b/>
          <w:spacing w:val="1"/>
          <w:sz w:val="36"/>
          <w:szCs w:val="24"/>
        </w:rPr>
        <w:t xml:space="preserve"> </w:t>
      </w:r>
      <w:r>
        <w:rPr>
          <w:b/>
          <w:sz w:val="36"/>
          <w:szCs w:val="24"/>
        </w:rPr>
        <w:t>Science</w:t>
      </w:r>
    </w:p>
    <w:p w14:paraId="7E936EF4">
      <w:pPr>
        <w:spacing w:before="1"/>
        <w:ind w:right="713"/>
        <w:jc w:val="both"/>
        <w:rPr>
          <w:b/>
          <w:sz w:val="32"/>
        </w:rPr>
      </w:pPr>
    </w:p>
    <w:p w14:paraId="688907F5">
      <w:pPr>
        <w:pStyle w:val="13"/>
        <w:spacing w:before="1" w:line="480" w:lineRule="auto"/>
        <w:ind w:firstLine="227"/>
        <w:jc w:val="both"/>
        <w:rPr>
          <w:b/>
          <w:sz w:val="40"/>
          <w:szCs w:val="40"/>
        </w:rPr>
      </w:pPr>
      <w:bookmarkStart w:id="0" w:name="NANDHA_ENGINEERING_COLLEGE,_ERODE-52"/>
      <w:bookmarkEnd w:id="0"/>
      <w:r>
        <w:rPr>
          <w:b/>
          <w:sz w:val="40"/>
          <w:szCs w:val="40"/>
        </w:rPr>
        <w:t>NAME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 xml:space="preserve">     :    R.S.JANANI</w:t>
      </w:r>
    </w:p>
    <w:p w14:paraId="224C8C64">
      <w:pPr>
        <w:pStyle w:val="13"/>
        <w:spacing w:before="1" w:line="480" w:lineRule="auto"/>
        <w:ind w:firstLine="227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REG.NO        :     23AI024</w:t>
      </w:r>
    </w:p>
    <w:p w14:paraId="0CBA94EE">
      <w:pPr>
        <w:pStyle w:val="13"/>
        <w:spacing w:before="1" w:line="480" w:lineRule="auto"/>
        <w:ind w:left="227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BRANCH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 xml:space="preserve">     :    B.TECH AI &amp; DS</w:t>
      </w:r>
    </w:p>
    <w:p w14:paraId="6CF02335">
      <w:pPr>
        <w:pStyle w:val="13"/>
        <w:spacing w:before="1" w:line="480" w:lineRule="auto"/>
        <w:ind w:left="227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YEAR             :     II</w:t>
      </w:r>
    </w:p>
    <w:p w14:paraId="5383A3A9">
      <w:pPr>
        <w:pStyle w:val="13"/>
        <w:spacing w:before="1" w:line="480" w:lineRule="auto"/>
        <w:ind w:left="2160" w:firstLine="7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TABLEAU</w:t>
      </w:r>
    </w:p>
    <w:p w14:paraId="799DBCAB">
      <w:pPr>
        <w:pStyle w:val="13"/>
        <w:numPr>
          <w:ilvl w:val="0"/>
          <w:numId w:val="1"/>
        </w:numPr>
        <w:spacing w:before="1" w:line="48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Tableau is a data visualization tool.</w:t>
      </w:r>
    </w:p>
    <w:p w14:paraId="335BF76A">
      <w:pPr>
        <w:pStyle w:val="13"/>
        <w:numPr>
          <w:ilvl w:val="0"/>
          <w:numId w:val="1"/>
        </w:numPr>
        <w:spacing w:before="1" w:line="48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Used for analyzing and visualizing data through interactive dashboards and reports.</w:t>
      </w:r>
    </w:p>
    <w:p w14:paraId="6A2F6AC2">
      <w:pPr>
        <w:pStyle w:val="13"/>
        <w:numPr>
          <w:ilvl w:val="0"/>
          <w:numId w:val="1"/>
        </w:numPr>
        <w:spacing w:before="1" w:line="48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Allows easy creation of charts, graphs, and maps.</w:t>
      </w:r>
    </w:p>
    <w:p w14:paraId="381F78BB">
      <w:pPr>
        <w:pStyle w:val="13"/>
        <w:numPr>
          <w:ilvl w:val="0"/>
          <w:numId w:val="1"/>
        </w:numPr>
        <w:spacing w:before="1" w:line="48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Connects to various data sources (Excel, databases, cloud services).</w:t>
      </w:r>
    </w:p>
    <w:p w14:paraId="2A67791F">
      <w:pPr>
        <w:pStyle w:val="13"/>
        <w:numPr>
          <w:ilvl w:val="0"/>
          <w:numId w:val="1"/>
        </w:numPr>
        <w:spacing w:before="1" w:line="48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Helps in identifying trends, patterns, and outliers in data.</w:t>
      </w:r>
    </w:p>
    <w:p w14:paraId="5E9E7646">
      <w:pPr>
        <w:pStyle w:val="13"/>
        <w:numPr>
          <w:ilvl w:val="0"/>
          <w:numId w:val="1"/>
        </w:numPr>
        <w:spacing w:before="1" w:line="48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Known for a user-friendly, drag-and-drop interface.</w:t>
      </w:r>
    </w:p>
    <w:p w14:paraId="002C375F">
      <w:pPr>
        <w:pStyle w:val="13"/>
        <w:numPr>
          <w:ilvl w:val="0"/>
          <w:numId w:val="1"/>
        </w:numPr>
        <w:spacing w:before="1" w:line="48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Supports real-time data analysis and updates.</w:t>
      </w:r>
    </w:p>
    <w:p w14:paraId="3B54E61E">
      <w:pPr>
        <w:pStyle w:val="13"/>
        <w:numPr>
          <w:ilvl w:val="0"/>
          <w:numId w:val="1"/>
        </w:numPr>
        <w:spacing w:before="1" w:line="48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Popular in business intelligence and data analysis fields.</w:t>
      </w:r>
    </w:p>
    <w:p w14:paraId="430CE5FD">
      <w:pPr>
        <w:pStyle w:val="13"/>
        <w:numPr>
          <w:ilvl w:val="0"/>
          <w:numId w:val="1"/>
        </w:numPr>
        <w:spacing w:before="1" w:line="480" w:lineRule="auto"/>
        <w:jc w:val="both"/>
        <w:rPr>
          <w:sz w:val="28"/>
          <w:szCs w:val="28"/>
          <w:lang w:val="en-IN"/>
        </w:rPr>
      </w:pPr>
      <w:r>
        <w:rPr>
          <w:sz w:val="32"/>
          <w:szCs w:val="32"/>
          <w:lang w:val="en-IN"/>
        </w:rPr>
        <w:t xml:space="preserve">Can be used for both individual and collaborative </w:t>
      </w:r>
      <w:r>
        <w:rPr>
          <w:sz w:val="28"/>
          <w:szCs w:val="28"/>
          <w:lang w:val="en-IN"/>
        </w:rPr>
        <w:t>data analysis.</w:t>
      </w:r>
    </w:p>
    <w:p w14:paraId="357213F4">
      <w:pPr>
        <w:pStyle w:val="13"/>
        <w:spacing w:before="1" w:line="480" w:lineRule="auto"/>
        <w:ind w:left="227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OVERVIEW OF THE PROJECT</w:t>
      </w:r>
    </w:p>
    <w:p w14:paraId="399E5F1C">
      <w:pPr>
        <w:pStyle w:val="13"/>
        <w:spacing w:before="1" w:line="480" w:lineRule="auto"/>
        <w:ind w:left="227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The goal of this project is to analyze accident data collected from Nashville (Jan 2018 – Apr 2025) to uncover insights about accident trends, major contributing factors, and risk-prone areas. The final output helps in understanding where and under what conditions accidents are most frequent.</w:t>
      </w:r>
    </w:p>
    <w:p w14:paraId="3C1F20E0">
      <w:pPr>
        <w:jc w:val="both"/>
        <w:rPr>
          <w:b/>
          <w:bCs/>
          <w:sz w:val="28"/>
          <w:szCs w:val="28"/>
          <w:lang w:val="en-IN"/>
        </w:rPr>
      </w:pPr>
    </w:p>
    <w:p w14:paraId="6C51A0C1">
      <w:pPr>
        <w:ind w:left="720"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  <w:lang w:val="en-IN"/>
        </w:rPr>
        <w:t xml:space="preserve">ACCIDENT ANALYSIS REPORT </w:t>
      </w:r>
      <w:r>
        <w:rPr>
          <w:b/>
          <w:bCs/>
          <w:sz w:val="32"/>
          <w:szCs w:val="32"/>
        </w:rPr>
        <w:t>(Jan 2018 – Apr 2025)</w:t>
      </w:r>
    </w:p>
    <w:p w14:paraId="4C85FAA5">
      <w:pPr>
        <w:ind w:left="720" w:firstLine="720"/>
        <w:jc w:val="both"/>
        <w:rPr>
          <w:b/>
          <w:bCs/>
          <w:sz w:val="28"/>
          <w:szCs w:val="28"/>
          <w:lang w:val="en-IN"/>
        </w:rPr>
      </w:pPr>
    </w:p>
    <w:p w14:paraId="5A136421">
      <w:pPr>
        <w:jc w:val="both"/>
        <w:rPr>
          <w:b/>
          <w:bCs/>
          <w:sz w:val="28"/>
          <w:szCs w:val="28"/>
          <w:lang w:val="en-IN"/>
        </w:rPr>
      </w:pPr>
    </w:p>
    <w:p w14:paraId="39DE84AE">
      <w:pPr>
        <w:jc w:val="both"/>
        <w:rPr>
          <w:b/>
          <w:bCs/>
          <w:sz w:val="28"/>
          <w:szCs w:val="28"/>
          <w:lang w:val="en-IN"/>
        </w:rPr>
      </w:pPr>
    </w:p>
    <w:p w14:paraId="7A18C020">
      <w:pPr>
        <w:jc w:val="both"/>
        <w:rPr>
          <w:b/>
          <w:bCs/>
          <w:sz w:val="28"/>
          <w:szCs w:val="28"/>
          <w:lang w:val="en-IN"/>
        </w:rPr>
      </w:pPr>
    </w:p>
    <w:p w14:paraId="49D1AE93">
      <w:pPr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drawing>
          <wp:inline distT="0" distB="0" distL="0" distR="0">
            <wp:extent cx="5731510" cy="2362835"/>
            <wp:effectExtent l="0" t="0" r="2540" b="0"/>
            <wp:docPr id="235108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08105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6CC3">
      <w:pPr>
        <w:jc w:val="both"/>
        <w:rPr>
          <w:b/>
          <w:bCs/>
          <w:sz w:val="28"/>
          <w:szCs w:val="28"/>
          <w:lang w:val="en-IN"/>
        </w:rPr>
      </w:pPr>
    </w:p>
    <w:p w14:paraId="6031C865">
      <w:pPr>
        <w:jc w:val="both"/>
        <w:rPr>
          <w:b/>
          <w:bCs/>
          <w:sz w:val="28"/>
          <w:szCs w:val="28"/>
          <w:lang w:val="en-IN"/>
        </w:rPr>
      </w:pPr>
    </w:p>
    <w:p w14:paraId="1DA80D9A">
      <w:pPr>
        <w:jc w:val="both"/>
        <w:rPr>
          <w:b/>
          <w:bCs/>
          <w:sz w:val="28"/>
          <w:szCs w:val="28"/>
          <w:lang w:val="en-IN"/>
        </w:rPr>
      </w:pPr>
    </w:p>
    <w:p w14:paraId="58F44A12">
      <w:pPr>
        <w:jc w:val="both"/>
        <w:rPr>
          <w:b/>
          <w:bCs/>
          <w:sz w:val="28"/>
          <w:szCs w:val="28"/>
          <w:lang w:val="en-IN"/>
        </w:rPr>
      </w:pPr>
    </w:p>
    <w:p w14:paraId="572510C8">
      <w:pPr>
        <w:pStyle w:val="31"/>
        <w:numPr>
          <w:ilvl w:val="0"/>
          <w:numId w:val="2"/>
        </w:num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visualization represents a donut chart titled "City vs Accidents", created using Tableau. </w:t>
      </w:r>
    </w:p>
    <w:p w14:paraId="3AB883D4">
      <w:pPr>
        <w:pStyle w:val="31"/>
        <w:numPr>
          <w:numId w:val="0"/>
        </w:numPr>
        <w:ind w:left="360" w:leftChars="0"/>
        <w:jc w:val="both"/>
        <w:rPr>
          <w:sz w:val="28"/>
          <w:szCs w:val="28"/>
          <w:lang w:val="en-IN"/>
        </w:rPr>
      </w:pPr>
    </w:p>
    <w:p w14:paraId="728949F3">
      <w:pPr>
        <w:pStyle w:val="31"/>
        <w:numPr>
          <w:ilvl w:val="0"/>
          <w:numId w:val="2"/>
        </w:num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 the Columns shelf, SUM(Zero) is added twice to manage the chart's alignment, while no fields are placed in the Rows shelf</w:t>
      </w:r>
    </w:p>
    <w:p w14:paraId="0DACB4D9">
      <w:pPr>
        <w:pStyle w:val="31"/>
        <w:numPr>
          <w:numId w:val="0"/>
        </w:numPr>
        <w:ind w:left="360" w:leftChars="0"/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.</w:t>
      </w:r>
    </w:p>
    <w:p w14:paraId="39731E76">
      <w:pPr>
        <w:pStyle w:val="31"/>
        <w:numPr>
          <w:ilvl w:val="0"/>
          <w:numId w:val="2"/>
        </w:num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The Filters section includes City, Action (Precinct...) (two instances), and Action (Object Id) to narrow down the data.</w:t>
      </w:r>
    </w:p>
    <w:p w14:paraId="45449C85">
      <w:pPr>
        <w:pStyle w:val="31"/>
        <w:numPr>
          <w:numId w:val="0"/>
        </w:numPr>
        <w:ind w:left="360" w:leftChars="0"/>
        <w:jc w:val="both"/>
        <w:rPr>
          <w:sz w:val="28"/>
          <w:szCs w:val="28"/>
          <w:lang w:val="en-IN"/>
        </w:rPr>
      </w:pPr>
    </w:p>
    <w:p w14:paraId="6538A05C">
      <w:pPr>
        <w:pStyle w:val="31"/>
        <w:numPr>
          <w:ilvl w:val="0"/>
          <w:numId w:val="2"/>
        </w:num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The chart uses City for colour differentiation, and accident counts are displayed as labels on each segment</w:t>
      </w:r>
      <w:r>
        <w:rPr>
          <w:rFonts w:hint="default"/>
          <w:sz w:val="28"/>
          <w:szCs w:val="28"/>
          <w:lang w:val="en-US"/>
        </w:rPr>
        <w:t>.</w:t>
      </w:r>
    </w:p>
    <w:p w14:paraId="74549153">
      <w:pPr>
        <w:pStyle w:val="31"/>
        <w:numPr>
          <w:numId w:val="0"/>
        </w:numPr>
        <w:ind w:left="360" w:leftChars="0"/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5BCBEE58">
      <w:pPr>
        <w:pStyle w:val="31"/>
        <w:numPr>
          <w:ilvl w:val="0"/>
          <w:numId w:val="2"/>
        </w:num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analysis shows that Antioch has the highest number of accidents (435,066), followed by other cities like Brentwood, Ashland City, and Bellevue with significantly lower numbers.</w:t>
      </w:r>
    </w:p>
    <w:p w14:paraId="2D3A4B84">
      <w:pPr>
        <w:pStyle w:val="31"/>
        <w:numPr>
          <w:numId w:val="0"/>
        </w:numPr>
        <w:ind w:left="360" w:leftChars="0"/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2F60C8D0">
      <w:pPr>
        <w:pStyle w:val="31"/>
        <w:numPr>
          <w:ilvl w:val="0"/>
          <w:numId w:val="2"/>
        </w:num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 Null category is also visible, indicating possible missing city data that may require cleaning. The black background enhances the visual clarity of the chart.</w:t>
      </w:r>
    </w:p>
    <w:p w14:paraId="2982F3AF">
      <w:pPr>
        <w:jc w:val="both"/>
        <w:rPr>
          <w:sz w:val="28"/>
          <w:szCs w:val="28"/>
          <w:lang w:val="en-IN"/>
        </w:rPr>
      </w:pPr>
    </w:p>
    <w:p w14:paraId="3B8634E2">
      <w:pPr>
        <w:jc w:val="both"/>
        <w:rPr>
          <w:sz w:val="28"/>
          <w:szCs w:val="28"/>
          <w:lang w:val="en-IN"/>
        </w:rPr>
      </w:pPr>
    </w:p>
    <w:p w14:paraId="22585C3B">
      <w:pPr>
        <w:jc w:val="both"/>
        <w:rPr>
          <w:sz w:val="28"/>
          <w:szCs w:val="28"/>
          <w:lang w:val="en-IN"/>
        </w:rPr>
      </w:pPr>
    </w:p>
    <w:p w14:paraId="48B71415">
      <w:pPr>
        <w:widowControl/>
        <w:autoSpaceDE/>
        <w:autoSpaceDN/>
        <w:spacing w:after="160" w:line="259" w:lineRule="auto"/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br w:type="page"/>
      </w:r>
    </w:p>
    <w:p w14:paraId="11ED69BE">
      <w:pPr>
        <w:jc w:val="both"/>
        <w:rPr>
          <w:sz w:val="28"/>
          <w:szCs w:val="28"/>
          <w:lang w:val="en-IN"/>
        </w:rPr>
      </w:pPr>
    </w:p>
    <w:p w14:paraId="61BA8F5C">
      <w:pPr>
        <w:jc w:val="both"/>
        <w:rPr>
          <w:b/>
          <w:bCs/>
          <w:sz w:val="28"/>
          <w:szCs w:val="28"/>
          <w:lang w:val="en-IN"/>
        </w:rPr>
      </w:pPr>
    </w:p>
    <w:p w14:paraId="769DBBD6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243320" cy="2371725"/>
            <wp:effectExtent l="0" t="0" r="5080" b="5715"/>
            <wp:docPr id="98503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3085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562">
      <w:pPr>
        <w:jc w:val="both"/>
        <w:rPr>
          <w:sz w:val="28"/>
          <w:szCs w:val="28"/>
        </w:rPr>
      </w:pPr>
    </w:p>
    <w:p w14:paraId="1C1838B6">
      <w:pPr>
        <w:pStyle w:val="31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The visualization titled </w:t>
      </w:r>
      <w:r>
        <w:rPr>
          <w:b/>
          <w:bCs/>
          <w:sz w:val="28"/>
          <w:szCs w:val="28"/>
        </w:rPr>
        <w:t>"State vs Precinct"</w:t>
      </w:r>
      <w:r>
        <w:rPr>
          <w:sz w:val="28"/>
          <w:szCs w:val="28"/>
        </w:rPr>
        <w:t xml:space="preserve"> is a </w:t>
      </w:r>
      <w:r>
        <w:rPr>
          <w:b/>
          <w:bCs/>
          <w:sz w:val="28"/>
          <w:szCs w:val="28"/>
        </w:rPr>
        <w:t>tree map chart</w:t>
      </w:r>
      <w:r>
        <w:rPr>
          <w:sz w:val="28"/>
          <w:szCs w:val="28"/>
        </w:rPr>
        <w:t xml:space="preserve"> created using </w:t>
      </w:r>
      <w:r>
        <w:rPr>
          <w:b/>
          <w:bCs/>
          <w:sz w:val="28"/>
          <w:szCs w:val="28"/>
        </w:rPr>
        <w:t>Tableau</w:t>
      </w:r>
      <w:r>
        <w:rPr>
          <w:sz w:val="28"/>
          <w:szCs w:val="28"/>
        </w:rPr>
        <w:t>.</w:t>
      </w:r>
    </w:p>
    <w:p w14:paraId="2CC5DDEC">
      <w:pPr>
        <w:pStyle w:val="31"/>
        <w:numPr>
          <w:numId w:val="0"/>
        </w:numPr>
        <w:ind w:left="360" w:leftChars="0"/>
        <w:jc w:val="both"/>
        <w:rPr>
          <w:sz w:val="32"/>
          <w:szCs w:val="32"/>
        </w:rPr>
      </w:pPr>
    </w:p>
    <w:p w14:paraId="404E7630">
      <w:pPr>
        <w:pStyle w:val="31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28"/>
          <w:szCs w:val="28"/>
        </w:rPr>
        <w:t xml:space="preserve"> In this chart, each block represents a different precinct within the state of Tennessee (TN), sized according to the </w:t>
      </w:r>
      <w:r>
        <w:rPr>
          <w:b/>
          <w:bCs/>
          <w:sz w:val="28"/>
          <w:szCs w:val="28"/>
        </w:rPr>
        <w:t>SUM(Weather)</w:t>
      </w:r>
      <w:r>
        <w:rPr>
          <w:sz w:val="28"/>
          <w:szCs w:val="28"/>
        </w:rPr>
        <w:t xml:space="preserve"> measure.</w:t>
      </w:r>
    </w:p>
    <w:p w14:paraId="20E82B39">
      <w:pPr>
        <w:pStyle w:val="31"/>
        <w:numPr>
          <w:numId w:val="0"/>
        </w:numPr>
        <w:ind w:left="360" w:leftChars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 </w:t>
      </w:r>
    </w:p>
    <w:p w14:paraId="5FFADA82">
      <w:pPr>
        <w:pStyle w:val="31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The Columns shelf includes </w:t>
      </w:r>
      <w:r>
        <w:rPr>
          <w:b/>
          <w:bCs/>
          <w:sz w:val="28"/>
          <w:szCs w:val="28"/>
        </w:rPr>
        <w:t>SUM(Weather)</w:t>
      </w:r>
      <w:r>
        <w:rPr>
          <w:sz w:val="28"/>
          <w:szCs w:val="28"/>
        </w:rPr>
        <w:t xml:space="preserve"> twice, while no fields are placed in the Rows shelf.</w:t>
      </w:r>
    </w:p>
    <w:p w14:paraId="6FA2DC3B">
      <w:pPr>
        <w:pStyle w:val="31"/>
        <w:numPr>
          <w:numId w:val="0"/>
        </w:numPr>
        <w:ind w:left="360" w:leftChars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 </w:t>
      </w:r>
    </w:p>
    <w:p w14:paraId="6A142758">
      <w:pPr>
        <w:pStyle w:val="31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The Filters applied are </w:t>
      </w:r>
      <w:r>
        <w:rPr>
          <w:b/>
          <w:bCs/>
          <w:sz w:val="28"/>
          <w:szCs w:val="28"/>
        </w:rPr>
        <w:t>Action (Precinct)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Action (City)</w:t>
      </w:r>
      <w:r>
        <w:rPr>
          <w:sz w:val="28"/>
          <w:szCs w:val="28"/>
        </w:rPr>
        <w:t xml:space="preserve">, and </w:t>
      </w:r>
      <w:r>
        <w:rPr>
          <w:b/>
          <w:bCs/>
          <w:sz w:val="28"/>
          <w:szCs w:val="28"/>
        </w:rPr>
        <w:t>Action (Object Id)</w:t>
      </w:r>
      <w:r>
        <w:rPr>
          <w:sz w:val="28"/>
          <w:szCs w:val="28"/>
        </w:rPr>
        <w:t>, which allow users to refine the displayed data.</w:t>
      </w:r>
    </w:p>
    <w:p w14:paraId="3471D6C2">
      <w:pPr>
        <w:pStyle w:val="31"/>
        <w:numPr>
          <w:numId w:val="0"/>
        </w:numPr>
        <w:ind w:left="360" w:leftChars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 </w:t>
      </w:r>
    </w:p>
    <w:p w14:paraId="6CCEA0D7">
      <w:pPr>
        <w:pStyle w:val="31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The </w:t>
      </w:r>
      <w:r>
        <w:rPr>
          <w:b/>
          <w:bCs/>
          <w:sz w:val="28"/>
          <w:szCs w:val="28"/>
        </w:rPr>
        <w:t>Marks</w:t>
      </w:r>
      <w:r>
        <w:rPr>
          <w:sz w:val="28"/>
          <w:szCs w:val="28"/>
        </w:rPr>
        <w:t xml:space="preserve"> card is set to Automatic, and the fields </w:t>
      </w:r>
      <w:r>
        <w:rPr>
          <w:b/>
          <w:bCs/>
          <w:sz w:val="28"/>
          <w:szCs w:val="28"/>
        </w:rPr>
        <w:t>State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Precinct</w:t>
      </w:r>
      <w:r>
        <w:rPr>
          <w:sz w:val="28"/>
          <w:szCs w:val="28"/>
        </w:rPr>
        <w:t xml:space="preserve"> are used to define the structure of the tree map.</w:t>
      </w:r>
    </w:p>
    <w:p w14:paraId="1205F645">
      <w:pPr>
        <w:pStyle w:val="31"/>
        <w:numPr>
          <w:numId w:val="0"/>
        </w:numPr>
        <w:ind w:left="360" w:leftChars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 </w:t>
      </w:r>
    </w:p>
    <w:p w14:paraId="74935650">
      <w:pPr>
        <w:pStyle w:val="31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The color intensity indicates the volume of the </w:t>
      </w:r>
      <w:r>
        <w:rPr>
          <w:b/>
          <w:bCs/>
          <w:sz w:val="28"/>
          <w:szCs w:val="28"/>
        </w:rPr>
        <w:t>Weather</w:t>
      </w:r>
      <w:r>
        <w:rPr>
          <w:sz w:val="28"/>
          <w:szCs w:val="28"/>
        </w:rPr>
        <w:t xml:space="preserve"> measure, with darker shades representing higher values. </w:t>
      </w:r>
    </w:p>
    <w:p w14:paraId="7721C8D5">
      <w:pPr>
        <w:pStyle w:val="31"/>
        <w:numPr>
          <w:numId w:val="0"/>
        </w:numPr>
        <w:ind w:left="360" w:leftChars="0"/>
        <w:jc w:val="both"/>
        <w:rPr>
          <w:sz w:val="32"/>
          <w:szCs w:val="32"/>
        </w:rPr>
      </w:pPr>
    </w:p>
    <w:p w14:paraId="6360A8EE">
      <w:pPr>
        <w:pStyle w:val="31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28"/>
          <w:szCs w:val="28"/>
        </w:rPr>
        <w:t xml:space="preserve">From the tree map, it is observed that the </w:t>
      </w:r>
      <w:r>
        <w:rPr>
          <w:b/>
          <w:bCs/>
          <w:sz w:val="28"/>
          <w:szCs w:val="28"/>
        </w:rPr>
        <w:t>SOUTH precinct</w:t>
      </w:r>
      <w:r>
        <w:rPr>
          <w:sz w:val="28"/>
          <w:szCs w:val="28"/>
        </w:rPr>
        <w:t xml:space="preserve"> has the largest area, indicating the highest recorded weather-related activity, followed by MIDTOW, HERMIT, and others</w:t>
      </w:r>
    </w:p>
    <w:p w14:paraId="1F7E21B1">
      <w:pPr>
        <w:pStyle w:val="31"/>
        <w:numPr>
          <w:numId w:val="0"/>
        </w:numPr>
        <w:ind w:left="360" w:leftChars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. </w:t>
      </w:r>
    </w:p>
    <w:p w14:paraId="31073B93">
      <w:pPr>
        <w:pStyle w:val="31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28"/>
          <w:szCs w:val="28"/>
        </w:rPr>
        <w:t>The black background enhances the visual contrast, making the chart easy to interpret</w:t>
      </w:r>
      <w:r>
        <w:rPr>
          <w:sz w:val="32"/>
          <w:szCs w:val="32"/>
        </w:rPr>
        <w:t>.</w:t>
      </w:r>
    </w:p>
    <w:p w14:paraId="1623D62C">
      <w:pPr>
        <w:widowControl/>
        <w:autoSpaceDE/>
        <w:autoSpaceDN/>
        <w:spacing w:after="160"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0AE22C9">
      <w:pPr>
        <w:pStyle w:val="31"/>
        <w:numPr>
          <w:numId w:val="0"/>
        </w:numPr>
        <w:ind w:left="360" w:leftChars="0"/>
        <w:jc w:val="both"/>
        <w:rPr>
          <w:sz w:val="28"/>
          <w:szCs w:val="28"/>
        </w:rPr>
      </w:pPr>
    </w:p>
    <w:p w14:paraId="12714093">
      <w:pPr>
        <w:pStyle w:val="31"/>
        <w:numPr>
          <w:numId w:val="0"/>
        </w:numPr>
        <w:ind w:left="360" w:leftChars="0"/>
        <w:jc w:val="both"/>
        <w:rPr>
          <w:sz w:val="28"/>
          <w:szCs w:val="28"/>
        </w:rPr>
      </w:pPr>
    </w:p>
    <w:p w14:paraId="0AF51572">
      <w:pPr>
        <w:pStyle w:val="31"/>
        <w:numPr>
          <w:numId w:val="0"/>
        </w:numPr>
        <w:jc w:val="both"/>
        <w:rPr>
          <w:sz w:val="28"/>
          <w:szCs w:val="28"/>
        </w:rPr>
      </w:pPr>
      <w:r>
        <w:rPr>
          <w:sz w:val="32"/>
          <w:szCs w:val="32"/>
        </w:rPr>
        <w:drawing>
          <wp:inline distT="0" distB="0" distL="0" distR="0">
            <wp:extent cx="5731510" cy="3080385"/>
            <wp:effectExtent l="0" t="0" r="13970" b="13335"/>
            <wp:docPr id="9876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397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6413">
      <w:pPr>
        <w:pStyle w:val="31"/>
        <w:numPr>
          <w:numId w:val="0"/>
        </w:numPr>
        <w:jc w:val="both"/>
        <w:rPr>
          <w:sz w:val="28"/>
          <w:szCs w:val="28"/>
        </w:rPr>
      </w:pPr>
    </w:p>
    <w:p w14:paraId="0AF3B5BA">
      <w:pPr>
        <w:pStyle w:val="31"/>
        <w:numPr>
          <w:numId w:val="0"/>
        </w:numPr>
        <w:ind w:firstLine="7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visualization titled </w:t>
      </w:r>
      <w:r>
        <w:rPr>
          <w:b/>
          <w:bCs/>
          <w:sz w:val="28"/>
          <w:szCs w:val="28"/>
        </w:rPr>
        <w:t>"Accidents using Weather Conditions"</w:t>
      </w:r>
      <w:r>
        <w:rPr>
          <w:sz w:val="28"/>
          <w:szCs w:val="28"/>
        </w:rPr>
        <w:t xml:space="preserve"> displays accident data on a </w:t>
      </w:r>
      <w:r>
        <w:rPr>
          <w:b/>
          <w:bCs/>
          <w:sz w:val="28"/>
          <w:szCs w:val="28"/>
        </w:rPr>
        <w:t>world map</w:t>
      </w:r>
      <w:r>
        <w:rPr>
          <w:sz w:val="28"/>
          <w:szCs w:val="28"/>
        </w:rPr>
        <w:t xml:space="preserve"> based on </w:t>
      </w:r>
      <w:r>
        <w:rPr>
          <w:b/>
          <w:bCs/>
          <w:sz w:val="28"/>
          <w:szCs w:val="28"/>
        </w:rPr>
        <w:t>weather conditions</w:t>
      </w:r>
      <w:r>
        <w:rPr>
          <w:sz w:val="28"/>
          <w:szCs w:val="28"/>
        </w:rPr>
        <w:t>.</w:t>
      </w:r>
    </w:p>
    <w:p w14:paraId="6125393B">
      <w:pPr>
        <w:pStyle w:val="31"/>
        <w:jc w:val="both"/>
        <w:rPr>
          <w:sz w:val="28"/>
          <w:szCs w:val="28"/>
        </w:rPr>
      </w:pPr>
    </w:p>
    <w:p w14:paraId="120AC5D7">
      <w:pPr>
        <w:pStyle w:val="31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The Columns shelf contains </w:t>
      </w:r>
      <w:r>
        <w:rPr>
          <w:b/>
          <w:bCs/>
          <w:sz w:val="28"/>
          <w:szCs w:val="28"/>
        </w:rPr>
        <w:t>Weather Description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Longitude (generated)</w:t>
      </w:r>
      <w:r>
        <w:rPr>
          <w:sz w:val="28"/>
          <w:szCs w:val="28"/>
        </w:rPr>
        <w:t xml:space="preserve">, while the Rows shelf includes </w:t>
      </w:r>
      <w:r>
        <w:rPr>
          <w:b/>
          <w:bCs/>
          <w:sz w:val="28"/>
          <w:szCs w:val="28"/>
        </w:rPr>
        <w:t>Latitude (generated)</w:t>
      </w:r>
      <w:r>
        <w:rPr>
          <w:sz w:val="28"/>
          <w:szCs w:val="28"/>
        </w:rPr>
        <w:t>.</w:t>
      </w:r>
    </w:p>
    <w:p w14:paraId="72FA982F">
      <w:pPr>
        <w:pStyle w:val="31"/>
        <w:jc w:val="both"/>
        <w:rPr>
          <w:sz w:val="28"/>
          <w:szCs w:val="28"/>
        </w:rPr>
      </w:pPr>
    </w:p>
    <w:p w14:paraId="6EA026EF">
      <w:pPr>
        <w:pStyle w:val="31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Filters applied are </w:t>
      </w:r>
      <w:r>
        <w:rPr>
          <w:b/>
          <w:bCs/>
          <w:sz w:val="28"/>
          <w:szCs w:val="28"/>
        </w:rPr>
        <w:t>SUM (Number of Motor Accidents)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Weather Description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Action (Precinct)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Action (City)</w:t>
      </w:r>
      <w:r>
        <w:rPr>
          <w:sz w:val="28"/>
          <w:szCs w:val="28"/>
        </w:rPr>
        <w:t xml:space="preserve">, and </w:t>
      </w:r>
      <w:r>
        <w:rPr>
          <w:b/>
          <w:bCs/>
          <w:sz w:val="28"/>
          <w:szCs w:val="28"/>
        </w:rPr>
        <w:t>Action (Object Id)</w:t>
      </w:r>
      <w:r>
        <w:rPr>
          <w:sz w:val="28"/>
          <w:szCs w:val="28"/>
        </w:rPr>
        <w:t xml:space="preserve">. </w:t>
      </w:r>
    </w:p>
    <w:p w14:paraId="5251CFBD">
      <w:pPr>
        <w:pStyle w:val="31"/>
        <w:jc w:val="both"/>
        <w:rPr>
          <w:sz w:val="28"/>
          <w:szCs w:val="28"/>
        </w:rPr>
      </w:pPr>
    </w:p>
    <w:p w14:paraId="1B70D2C0">
      <w:pPr>
        <w:pStyle w:val="31"/>
        <w:jc w:val="both"/>
        <w:rPr>
          <w:sz w:val="28"/>
          <w:szCs w:val="28"/>
        </w:rPr>
      </w:pPr>
    </w:p>
    <w:p w14:paraId="2A039F17">
      <w:pPr>
        <w:pStyle w:val="31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b/>
          <w:bCs/>
          <w:sz w:val="28"/>
          <w:szCs w:val="28"/>
        </w:rPr>
        <w:t>Marks</w:t>
      </w:r>
      <w:r>
        <w:rPr>
          <w:sz w:val="28"/>
          <w:szCs w:val="28"/>
        </w:rPr>
        <w:t xml:space="preserve"> card is set to Automatic to plot data points geographically. </w:t>
      </w:r>
    </w:p>
    <w:p w14:paraId="7D65DC6F">
      <w:pPr>
        <w:pStyle w:val="31"/>
        <w:jc w:val="both"/>
        <w:rPr>
          <w:sz w:val="28"/>
          <w:szCs w:val="28"/>
        </w:rPr>
      </w:pPr>
    </w:p>
    <w:p w14:paraId="725E00D1">
      <w:pPr>
        <w:pStyle w:val="31"/>
        <w:numPr>
          <w:ilvl w:val="0"/>
          <w:numId w:val="3"/>
        </w:numPr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 xml:space="preserve">The map shows accidents occurring under specific weather conditions like </w:t>
      </w:r>
      <w:r>
        <w:rPr>
          <w:b/>
          <w:bCs/>
          <w:sz w:val="28"/>
          <w:szCs w:val="28"/>
        </w:rPr>
        <w:t>Blowing Sand/Soil</w:t>
      </w:r>
      <w:r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Cloudy</w:t>
      </w:r>
      <w:r>
        <w:rPr>
          <w:sz w:val="28"/>
          <w:szCs w:val="28"/>
        </w:rPr>
        <w:t>, with data points plotted based on accident locations. Two null points indicate missing or incomplete location data.</w:t>
      </w:r>
    </w:p>
    <w:p w14:paraId="7D10A5DA">
      <w:pPr>
        <w:pStyle w:val="31"/>
        <w:numPr>
          <w:numId w:val="0"/>
        </w:numPr>
        <w:ind w:left="360" w:leftChars="0"/>
        <w:jc w:val="both"/>
        <w:rPr>
          <w:rFonts w:hint="default"/>
          <w:sz w:val="28"/>
          <w:szCs w:val="28"/>
          <w:lang w:val="en-US"/>
        </w:rPr>
      </w:pPr>
    </w:p>
    <w:p w14:paraId="616B424E">
      <w:pPr>
        <w:pStyle w:val="31"/>
        <w:numPr>
          <w:ilvl w:val="0"/>
          <w:numId w:val="3"/>
        </w:numPr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The black background helps highlight the map and selected filters clear</w:t>
      </w:r>
      <w:r>
        <w:rPr>
          <w:rFonts w:hint="default"/>
          <w:sz w:val="28"/>
          <w:szCs w:val="28"/>
          <w:lang w:val="en-US"/>
        </w:rPr>
        <w:t>.</w:t>
      </w:r>
    </w:p>
    <w:p w14:paraId="528B813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0DF31A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527816F">
      <w:pPr>
        <w:pStyle w:val="31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62930" cy="3710940"/>
            <wp:effectExtent l="0" t="0" r="6350" b="7620"/>
            <wp:docPr id="38365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5624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631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9420">
      <w:pPr>
        <w:pStyle w:val="31"/>
        <w:jc w:val="both"/>
        <w:rPr>
          <w:sz w:val="28"/>
          <w:szCs w:val="28"/>
        </w:rPr>
      </w:pPr>
    </w:p>
    <w:p w14:paraId="59510126">
      <w:pPr>
        <w:pStyle w:val="31"/>
        <w:jc w:val="both"/>
        <w:rPr>
          <w:sz w:val="28"/>
          <w:szCs w:val="28"/>
        </w:rPr>
      </w:pPr>
    </w:p>
    <w:p w14:paraId="6C88BD0D">
      <w:pPr>
        <w:pStyle w:val="31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line chart represents the </w:t>
      </w:r>
      <w:r>
        <w:rPr>
          <w:b/>
          <w:bCs/>
          <w:sz w:val="28"/>
          <w:szCs w:val="28"/>
        </w:rPr>
        <w:t>sum of RPA values</w:t>
      </w:r>
      <w:r>
        <w:rPr>
          <w:sz w:val="28"/>
          <w:szCs w:val="28"/>
        </w:rPr>
        <w:t xml:space="preserve"> mapped against various </w:t>
      </w:r>
      <w:r>
        <w:rPr>
          <w:b/>
          <w:bCs/>
          <w:sz w:val="28"/>
          <w:szCs w:val="28"/>
        </w:rPr>
        <w:t>Object IDs</w:t>
      </w:r>
      <w:r>
        <w:rPr>
          <w:sz w:val="28"/>
          <w:szCs w:val="28"/>
        </w:rPr>
        <w:t>.</w:t>
      </w:r>
    </w:p>
    <w:p w14:paraId="1B4D3433">
      <w:pPr>
        <w:pStyle w:val="31"/>
        <w:numPr>
          <w:numId w:val="0"/>
        </w:numPr>
        <w:ind w:left="360" w:leftChars="0"/>
        <w:jc w:val="both"/>
        <w:rPr>
          <w:sz w:val="28"/>
          <w:szCs w:val="28"/>
        </w:rPr>
      </w:pPr>
    </w:p>
    <w:p w14:paraId="1EF39CA4">
      <w:pPr>
        <w:pStyle w:val="31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Most Object IDs show relatively </w:t>
      </w:r>
      <w:r>
        <w:rPr>
          <w:b/>
          <w:bCs/>
          <w:sz w:val="28"/>
          <w:szCs w:val="28"/>
        </w:rPr>
        <w:t>low and steady</w:t>
      </w:r>
      <w:r>
        <w:rPr>
          <w:sz w:val="28"/>
          <w:szCs w:val="28"/>
        </w:rPr>
        <w:t xml:space="preserve"> RPA values, typically remaining under </w:t>
      </w:r>
      <w:r>
        <w:rPr>
          <w:b/>
          <w:bCs/>
          <w:sz w:val="28"/>
          <w:szCs w:val="28"/>
        </w:rPr>
        <w:t>10K</w:t>
      </w:r>
      <w:r>
        <w:rPr>
          <w:sz w:val="28"/>
          <w:szCs w:val="28"/>
        </w:rPr>
        <w:t>.</w:t>
      </w:r>
    </w:p>
    <w:p w14:paraId="53140001">
      <w:pPr>
        <w:pStyle w:val="31"/>
        <w:numPr>
          <w:numId w:val="0"/>
        </w:numPr>
        <w:ind w:left="360" w:left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9F20E8A">
      <w:pPr>
        <w:pStyle w:val="31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However, there is a </w:t>
      </w:r>
      <w:r>
        <w:rPr>
          <w:b/>
          <w:bCs/>
          <w:sz w:val="28"/>
          <w:szCs w:val="28"/>
        </w:rPr>
        <w:t>sharp and significant spike</w:t>
      </w:r>
      <w:r>
        <w:rPr>
          <w:sz w:val="28"/>
          <w:szCs w:val="28"/>
        </w:rPr>
        <w:t xml:space="preserve"> at </w:t>
      </w:r>
      <w:r>
        <w:rPr>
          <w:b/>
          <w:bCs/>
          <w:sz w:val="28"/>
          <w:szCs w:val="28"/>
        </w:rPr>
        <w:t>Object ID 216115</w:t>
      </w:r>
      <w:r>
        <w:rPr>
          <w:sz w:val="28"/>
          <w:szCs w:val="28"/>
        </w:rPr>
        <w:t xml:space="preserve">, where the RPA value peaks dramatically above </w:t>
      </w:r>
      <w:r>
        <w:rPr>
          <w:b/>
          <w:bCs/>
          <w:sz w:val="28"/>
          <w:szCs w:val="28"/>
        </w:rPr>
        <w:t>80K</w:t>
      </w:r>
      <w:r>
        <w:rPr>
          <w:sz w:val="28"/>
          <w:szCs w:val="28"/>
        </w:rPr>
        <w:t>.</w:t>
      </w:r>
    </w:p>
    <w:p w14:paraId="54B59351">
      <w:pPr>
        <w:pStyle w:val="31"/>
        <w:numPr>
          <w:numId w:val="0"/>
        </w:numPr>
        <w:ind w:left="360" w:leftChars="0"/>
        <w:jc w:val="both"/>
        <w:rPr>
          <w:sz w:val="28"/>
          <w:szCs w:val="28"/>
        </w:rPr>
      </w:pPr>
    </w:p>
    <w:p w14:paraId="3557506F">
      <w:pPr>
        <w:pStyle w:val="31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After this peak, the values quickly drop back to normal levels. Filters such as </w:t>
      </w:r>
      <w:r>
        <w:rPr>
          <w:b/>
          <w:bCs/>
          <w:sz w:val="28"/>
          <w:szCs w:val="28"/>
        </w:rPr>
        <w:t>City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Precinct</w:t>
      </w:r>
      <w:r>
        <w:rPr>
          <w:sz w:val="28"/>
          <w:szCs w:val="28"/>
        </w:rPr>
        <w:t xml:space="preserve">, and </w:t>
      </w:r>
      <w:r>
        <w:rPr>
          <w:b/>
          <w:bCs/>
          <w:sz w:val="28"/>
          <w:szCs w:val="28"/>
        </w:rPr>
        <w:t>Object ID</w:t>
      </w:r>
      <w:r>
        <w:rPr>
          <w:sz w:val="28"/>
          <w:szCs w:val="28"/>
        </w:rPr>
        <w:t xml:space="preserve"> have been used to narrow down the data, ensuring a focused analysis. </w:t>
      </w:r>
    </w:p>
    <w:p w14:paraId="7BC1159F">
      <w:pPr>
        <w:pStyle w:val="31"/>
        <w:numPr>
          <w:numId w:val="0"/>
        </w:numPr>
        <w:ind w:left="360" w:leftChars="0"/>
        <w:jc w:val="both"/>
        <w:rPr>
          <w:sz w:val="28"/>
          <w:szCs w:val="28"/>
        </w:rPr>
      </w:pPr>
    </w:p>
    <w:p w14:paraId="677575F9">
      <w:pPr>
        <w:pStyle w:val="31"/>
        <w:numPr>
          <w:ilvl w:val="0"/>
          <w:numId w:val="3"/>
        </w:numPr>
        <w:jc w:val="both"/>
        <w:rPr>
          <w:sz w:val="28"/>
          <w:szCs w:val="28"/>
        </w:rPr>
        <w:sectPr>
          <w:pgSz w:w="11906" w:h="16838"/>
          <w:pgMar w:top="1440" w:right="1440" w:bottom="1440" w:left="1440" w:header="708" w:footer="708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08" w:num="1"/>
          <w:docGrid w:linePitch="360" w:charSpace="0"/>
        </w:sectPr>
      </w:pPr>
      <w:r>
        <w:rPr>
          <w:sz w:val="28"/>
          <w:szCs w:val="28"/>
        </w:rPr>
        <w:t xml:space="preserve">The </w:t>
      </w:r>
      <w:r>
        <w:rPr>
          <w:b/>
          <w:bCs/>
          <w:sz w:val="28"/>
          <w:szCs w:val="28"/>
        </w:rPr>
        <w:t>Line</w:t>
      </w:r>
      <w:r>
        <w:rPr>
          <w:sz w:val="28"/>
          <w:szCs w:val="28"/>
        </w:rPr>
        <w:t xml:space="preserve"> mark type effectively highlights the sudden changes and trends across different Object IDs, helping to easily identify anomalies or patterns in the dataset.</w:t>
      </w:r>
    </w:p>
    <w:p w14:paraId="3040DF00">
      <w:pPr>
        <w:pStyle w:val="31"/>
        <w:numPr>
          <w:numId w:val="0"/>
        </w:numPr>
        <w:ind w:left="360" w:leftChars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451475" cy="4413885"/>
            <wp:effectExtent l="0" t="0" r="4445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1EE9">
      <w:pPr>
        <w:pStyle w:val="31"/>
        <w:numPr>
          <w:numId w:val="0"/>
        </w:numPr>
        <w:jc w:val="both"/>
        <w:rPr>
          <w:sz w:val="28"/>
          <w:szCs w:val="28"/>
        </w:rPr>
      </w:pPr>
    </w:p>
    <w:p w14:paraId="3E2BCAA2">
      <w:pPr>
        <w:pStyle w:val="31"/>
        <w:numPr>
          <w:ilvl w:val="0"/>
          <w:numId w:val="4"/>
        </w:numPr>
        <w:tabs>
          <w:tab w:val="clear" w:pos="420"/>
        </w:tabs>
        <w:ind w:left="640" w:leftChars="0" w:hanging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"Weather vs State" visualization presents a line graph analyzing accident frequency across various states under clear weather conditions.</w:t>
      </w:r>
    </w:p>
    <w:p w14:paraId="2546F17E">
      <w:pPr>
        <w:pStyle w:val="31"/>
        <w:numPr>
          <w:numId w:val="0"/>
        </w:numPr>
        <w:ind w:left="220" w:leftChars="0"/>
        <w:jc w:val="both"/>
        <w:rPr>
          <w:rFonts w:hint="default"/>
          <w:sz w:val="28"/>
          <w:szCs w:val="28"/>
        </w:rPr>
      </w:pPr>
    </w:p>
    <w:p w14:paraId="42B65A44">
      <w:pPr>
        <w:pStyle w:val="31"/>
        <w:numPr>
          <w:ilvl w:val="0"/>
          <w:numId w:val="4"/>
        </w:numPr>
        <w:tabs>
          <w:tab w:val="clear" w:pos="420"/>
        </w:tabs>
        <w:ind w:left="640" w:leftChars="0" w:hanging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The trend clearly shows that the 'SOUTH' region experiences a significantly higher number of accidents compared to other states, even in favorable weather.</w:t>
      </w:r>
    </w:p>
    <w:p w14:paraId="6A9CF6F5">
      <w:pPr>
        <w:pStyle w:val="31"/>
        <w:numPr>
          <w:numId w:val="0"/>
        </w:numPr>
        <w:ind w:left="220" w:leftChars="0"/>
        <w:jc w:val="both"/>
        <w:rPr>
          <w:rFonts w:hint="default"/>
          <w:sz w:val="28"/>
          <w:szCs w:val="28"/>
        </w:rPr>
      </w:pPr>
    </w:p>
    <w:p w14:paraId="03975850">
      <w:pPr>
        <w:pStyle w:val="31"/>
        <w:numPr>
          <w:ilvl w:val="0"/>
          <w:numId w:val="4"/>
        </w:numPr>
        <w:tabs>
          <w:tab w:val="clear" w:pos="420"/>
        </w:tabs>
        <w:ind w:left="640" w:leftChars="0" w:hanging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'HSMAT' follows but at a much lower count. 'EAST' and 'MADHYA' report moderate accident levels, whereas 'FAR', 'CENTRA', 'NORTH', and 'WEST' exhibit relatively low and similar accident numbers. </w:t>
      </w:r>
    </w:p>
    <w:p w14:paraId="45868D19">
      <w:pPr>
        <w:pStyle w:val="31"/>
        <w:numPr>
          <w:numId w:val="0"/>
        </w:numPr>
        <w:ind w:left="220" w:leftChars="0"/>
        <w:jc w:val="both"/>
        <w:rPr>
          <w:rFonts w:hint="default"/>
          <w:sz w:val="28"/>
          <w:szCs w:val="28"/>
        </w:rPr>
      </w:pPr>
    </w:p>
    <w:p w14:paraId="26AAFB54">
      <w:pPr>
        <w:pStyle w:val="31"/>
        <w:numPr>
          <w:ilvl w:val="0"/>
          <w:numId w:val="4"/>
        </w:numPr>
        <w:tabs>
          <w:tab w:val="clear" w:pos="420"/>
        </w:tabs>
        <w:ind w:left="640" w:leftChars="0" w:hanging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This stark contrast suggests that weather alone does not account for accident rates, and localized factors in 'SOUTH' — such as heavy traffic, higher population density, road infrastructure quality, or driver behavior — may play a major role.</w:t>
      </w:r>
    </w:p>
    <w:p w14:paraId="4F650908">
      <w:pPr>
        <w:pStyle w:val="31"/>
        <w:numPr>
          <w:numId w:val="0"/>
        </w:numPr>
        <w:ind w:left="220" w:leftChars="0"/>
        <w:jc w:val="both"/>
        <w:rPr>
          <w:rFonts w:hint="default"/>
          <w:sz w:val="28"/>
          <w:szCs w:val="28"/>
        </w:rPr>
      </w:pPr>
    </w:p>
    <w:p w14:paraId="0897597A">
      <w:pPr>
        <w:pStyle w:val="31"/>
        <w:numPr>
          <w:ilvl w:val="0"/>
          <w:numId w:val="4"/>
        </w:numPr>
        <w:tabs>
          <w:tab w:val="clear" w:pos="420"/>
        </w:tabs>
        <w:ind w:left="640" w:leftChars="0" w:hanging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These findings highlight the need for a focused investigation and targeted interventions to enhance road safety in the 'SOUTH' state.</w:t>
      </w:r>
    </w:p>
    <w:p w14:paraId="5C5A9F83">
      <w:pPr>
        <w:pStyle w:val="31"/>
        <w:numPr>
          <w:numId w:val="0"/>
        </w:numPr>
        <w:ind w:left="360" w:leftChars="0"/>
        <w:jc w:val="both"/>
        <w:rPr>
          <w:sz w:val="28"/>
          <w:szCs w:val="28"/>
        </w:rPr>
        <w:sectPr>
          <w:pgSz w:w="11906" w:h="16838"/>
          <w:pgMar w:top="1440" w:right="1440" w:bottom="1440" w:left="1440" w:header="708" w:footer="708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08" w:num="1"/>
          <w:docGrid w:linePitch="360" w:charSpace="0"/>
        </w:sectPr>
      </w:pPr>
    </w:p>
    <w:p w14:paraId="6F21870E">
      <w:pPr>
        <w:pStyle w:val="31"/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726430" cy="4531995"/>
            <wp:effectExtent l="0" t="0" r="381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ABA9">
      <w:pPr>
        <w:pStyle w:val="31"/>
        <w:numPr>
          <w:numId w:val="0"/>
        </w:numPr>
        <w:ind w:left="360" w:leftChars="0"/>
        <w:jc w:val="both"/>
      </w:pPr>
    </w:p>
    <w:p w14:paraId="5CFD2914">
      <w:pPr>
        <w:pStyle w:val="31"/>
        <w:numPr>
          <w:numId w:val="0"/>
        </w:numPr>
        <w:ind w:left="360" w:leftChars="0"/>
        <w:jc w:val="both"/>
      </w:pPr>
    </w:p>
    <w:p w14:paraId="23B0C1DF">
      <w:pPr>
        <w:pStyle w:val="31"/>
        <w:numPr>
          <w:numId w:val="0"/>
        </w:numPr>
        <w:ind w:left="360" w:leftChars="0"/>
        <w:jc w:val="both"/>
      </w:pPr>
    </w:p>
    <w:p w14:paraId="093D84E1">
      <w:pPr>
        <w:pStyle w:val="31"/>
        <w:numPr>
          <w:ilvl w:val="0"/>
          <w:numId w:val="4"/>
        </w:numPr>
        <w:ind w:left="640" w:leftChars="0" w:hanging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This chart visualizes data across different directions: South, East, West, NW/SW, NE/SE, North, and NW/NE. For each of these directions, there are two stacked bars: a shorter green bar at the bottom and a taller red bar stacked on top.</w:t>
      </w:r>
    </w:p>
    <w:p w14:paraId="04D4E49C">
      <w:pPr>
        <w:pStyle w:val="31"/>
        <w:numPr>
          <w:numId w:val="0"/>
        </w:numPr>
        <w:ind w:left="220" w:leftChars="0"/>
        <w:jc w:val="both"/>
        <w:rPr>
          <w:rFonts w:hint="default"/>
          <w:sz w:val="28"/>
          <w:szCs w:val="28"/>
        </w:rPr>
      </w:pPr>
    </w:p>
    <w:p w14:paraId="195BBC70">
      <w:pPr>
        <w:pStyle w:val="31"/>
        <w:numPr>
          <w:ilvl w:val="0"/>
          <w:numId w:val="4"/>
        </w:numPr>
        <w:ind w:left="640" w:leftChars="0" w:hanging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height of each bar represents a certain value, as indicated by the y-axis which ranges from 0 to 160.</w:t>
      </w:r>
    </w:p>
    <w:p w14:paraId="3D82B0F6">
      <w:pPr>
        <w:pStyle w:val="31"/>
        <w:numPr>
          <w:numId w:val="0"/>
        </w:numPr>
        <w:ind w:left="220" w:left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</w:t>
      </w:r>
    </w:p>
    <w:p w14:paraId="7D57F814">
      <w:pPr>
        <w:pStyle w:val="31"/>
        <w:numPr>
          <w:ilvl w:val="0"/>
          <w:numId w:val="4"/>
        </w:numPr>
        <w:ind w:left="640" w:leftChars="0" w:hanging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It appears the red portion of the bars is consistently larger than the green portion across all directions, suggesting a higher count or magnitude for whatever the red category represents compared to the green category.</w:t>
      </w:r>
    </w:p>
    <w:p w14:paraId="7ABEA303">
      <w:pPr>
        <w:pStyle w:val="31"/>
        <w:numPr>
          <w:numId w:val="0"/>
        </w:numPr>
        <w:ind w:left="220" w:leftChars="0"/>
        <w:jc w:val="both"/>
        <w:rPr>
          <w:rFonts w:hint="default"/>
          <w:sz w:val="28"/>
          <w:szCs w:val="28"/>
        </w:rPr>
      </w:pPr>
    </w:p>
    <w:p w14:paraId="31A77838">
      <w:pPr>
        <w:pStyle w:val="31"/>
        <w:numPr>
          <w:ilvl w:val="0"/>
          <w:numId w:val="4"/>
        </w:numPr>
        <w:ind w:left="640" w:leftChars="0" w:hanging="420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Notably, the combined height of the bars for the "NW/SW" and "NE/SE" directions is significantly lower than in other directions, indicating fewer collisions in these combined quadrants.</w:t>
      </w:r>
    </w:p>
    <w:p w14:paraId="155C0C9C">
      <w:pPr>
        <w:pStyle w:val="31"/>
        <w:numPr>
          <w:numId w:val="0"/>
        </w:numPr>
        <w:ind w:left="220" w:leftChars="0"/>
        <w:jc w:val="both"/>
        <w:rPr>
          <w:sz w:val="28"/>
          <w:szCs w:val="28"/>
        </w:rPr>
      </w:pPr>
    </w:p>
    <w:p w14:paraId="452C6DA9">
      <w:pPr>
        <w:pStyle w:val="31"/>
        <w:numPr>
          <w:ilvl w:val="0"/>
          <w:numId w:val="4"/>
        </w:numPr>
        <w:ind w:left="640" w:leftChars="0" w:hanging="420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 However, the visual representation clearly highlights the relative differences in these two categories across the various directions.</w:t>
      </w:r>
    </w:p>
    <w:p w14:paraId="1D46906E">
      <w:pPr>
        <w:pStyle w:val="31"/>
        <w:numPr>
          <w:numId w:val="0"/>
        </w:numPr>
        <w:ind w:left="220" w:leftChars="0"/>
        <w:jc w:val="both"/>
        <w:rPr>
          <w:sz w:val="28"/>
          <w:szCs w:val="28"/>
        </w:rPr>
      </w:pPr>
    </w:p>
    <w:p w14:paraId="1817D334">
      <w:pPr>
        <w:pStyle w:val="31"/>
        <w:numPr>
          <w:numId w:val="0"/>
        </w:numPr>
        <w:ind w:left="220" w:leftChars="0"/>
        <w:jc w:val="both"/>
        <w:rPr>
          <w:sz w:val="28"/>
          <w:szCs w:val="28"/>
        </w:rPr>
      </w:pPr>
    </w:p>
    <w:p w14:paraId="61324C25">
      <w:pPr>
        <w:pStyle w:val="31"/>
        <w:numPr>
          <w:numId w:val="0"/>
        </w:numPr>
        <w:ind w:left="220" w:leftChars="0"/>
        <w:jc w:val="both"/>
      </w:pPr>
      <w:r>
        <w:drawing>
          <wp:inline distT="0" distB="0" distL="114300" distR="114300">
            <wp:extent cx="5727065" cy="2790190"/>
            <wp:effectExtent l="0" t="0" r="3175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D8DA">
      <w:pPr>
        <w:pStyle w:val="4"/>
        <w:keepNext w:val="0"/>
        <w:keepLines w:val="0"/>
        <w:widowControl/>
        <w:suppressLineNumbers w:val="0"/>
        <w:jc w:val="both"/>
        <w:rPr>
          <w:color w:val="auto"/>
          <w:sz w:val="32"/>
          <w:szCs w:val="32"/>
        </w:rPr>
      </w:pPr>
      <w:r>
        <w:rPr>
          <w:rStyle w:val="15"/>
          <w:color w:val="auto"/>
          <w:sz w:val="32"/>
          <w:szCs w:val="32"/>
        </w:rPr>
        <w:t>Conclusion</w:t>
      </w:r>
    </w:p>
    <w:p w14:paraId="643E6B41"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640" w:leftChars="0" w:right="0" w:hanging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The Accident Report Analysis conducted using Tableau provides crucial insights into accident patterns across different cities, states, weather conditions, and precincts.</w:t>
      </w:r>
    </w:p>
    <w:p w14:paraId="67FB41B6"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640" w:leftChars="0" w:right="0" w:hanging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The city-wise analysis highlights that Antioch experiences a significantly higher number of accidents compared to other regions, indicating the need for targeted safety measures. </w:t>
      </w:r>
    </w:p>
    <w:p w14:paraId="23EBCF88"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640" w:leftChars="0" w:right="0" w:hanging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Weather condition mapping suggests that adverse weather, such as rain and fog, substantially influences accident rates, particularly in central and southern precincts.</w:t>
      </w:r>
    </w:p>
    <w:p w14:paraId="717E23E9"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640" w:leftChars="0" w:right="0" w:hanging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State versus precinct analysis shows that precincts like TN SOUTH and TN MIDTOWN are more prone to accidents, signaling a need for localized interventions.</w:t>
      </w:r>
    </w:p>
    <w:p w14:paraId="57F76152"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640" w:leftChars="0" w:right="0" w:hanging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ID vs RPA trend analysis also identified abnormal spikes, hinting at potential reporting anomalies or major accident clusters that warrant deeper investigation. </w:t>
      </w:r>
    </w:p>
    <w:p w14:paraId="7FA7BD34"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640" w:leftChars="0" w:right="0" w:hanging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Lastly, the high collision analysis revealed a consistent pattern of property damage across multiple regions, emphasizing the severity of incidents.</w:t>
      </w:r>
    </w:p>
    <w:p w14:paraId="46AD828B">
      <w:pPr>
        <w:pStyle w:val="31"/>
        <w:numPr>
          <w:numId w:val="0"/>
        </w:numPr>
        <w:jc w:val="both"/>
      </w:pPr>
      <w:bookmarkStart w:id="1" w:name="_GoBack"/>
      <w:bookmarkEnd w:id="1"/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F2191A"/>
    <w:multiLevelType w:val="multilevel"/>
    <w:tmpl w:val="0AF2191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5516E25"/>
    <w:multiLevelType w:val="multilevel"/>
    <w:tmpl w:val="15516E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CF32B24"/>
    <w:multiLevelType w:val="multilevel"/>
    <w:tmpl w:val="5CF32B2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7975471"/>
    <w:multiLevelType w:val="singleLevel"/>
    <w:tmpl w:val="67975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64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3AE"/>
    <w:rsid w:val="000E7CA9"/>
    <w:rsid w:val="0025039C"/>
    <w:rsid w:val="004E040F"/>
    <w:rsid w:val="005043AE"/>
    <w:rsid w:val="00672725"/>
    <w:rsid w:val="00680BFB"/>
    <w:rsid w:val="006D42E6"/>
    <w:rsid w:val="008675D9"/>
    <w:rsid w:val="009D360C"/>
    <w:rsid w:val="00BC7783"/>
    <w:rsid w:val="00CE09F9"/>
    <w:rsid w:val="00DD25F4"/>
    <w:rsid w:val="00DD51F2"/>
    <w:rsid w:val="00DD7A66"/>
    <w:rsid w:val="00DF3E1F"/>
    <w:rsid w:val="00E7332A"/>
    <w:rsid w:val="0845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:sz w:val="22"/>
      <w:szCs w:val="22"/>
      <w:lang w:val="en-US" w:eastAsia="en-US" w:bidi="ar-SA"/>
      <w14:ligatures w14:val="none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36"/>
    <w:qFormat/>
    <w:uiPriority w:val="1"/>
    <w:rPr>
      <w:sz w:val="24"/>
      <w:szCs w:val="24"/>
    </w:rPr>
  </w:style>
  <w:style w:type="paragraph" w:styleId="14">
    <w:name w:val="Normal (Web)"/>
    <w:basedOn w:val="1"/>
    <w:semiHidden/>
    <w:unhideWhenUsed/>
    <w:uiPriority w:val="99"/>
    <w:rPr>
      <w:sz w:val="24"/>
      <w:szCs w:val="24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2F5597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6">
    <w:name w:val="Body Text Char"/>
    <w:basedOn w:val="11"/>
    <w:link w:val="13"/>
    <w:qFormat/>
    <w:uiPriority w:val="1"/>
    <w:rPr>
      <w:rFonts w:ascii="Times New Roman" w:hAnsi="Times New Roman" w:eastAsia="Times New Roman" w:cs="Times New Roman"/>
      <w:kern w:val="0"/>
      <w:sz w:val="24"/>
      <w:szCs w:val="24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4C93C-154C-42BF-AE41-44803CC8D04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659</Words>
  <Characters>3757</Characters>
  <Lines>31</Lines>
  <Paragraphs>8</Paragraphs>
  <TotalTime>51</TotalTime>
  <ScaleCrop>false</ScaleCrop>
  <LinksUpToDate>false</LinksUpToDate>
  <CharactersWithSpaces>4408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2025-04-26T09:34:00Z</dcterms:created>
  <dc:creator>BHAVATHARINIKA U S</dc:creator>
  <cp:lastModifiedBy>23AI024 JANANI R S</cp:lastModifiedBy>
  <dcterms:modified xsi:type="dcterms:W3CDTF">2025-04-26T14:34:31Z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31515FCCC22847F3B508046A83A3A6E3_12</vt:lpwstr>
  </property>
</Properties>
</file>