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8C818" w14:textId="77777777" w:rsidR="00240BDD" w:rsidRDefault="00240BDD"/>
    <w:p w14:paraId="532117DC" w14:textId="77777777" w:rsidR="00240BDD" w:rsidRDefault="00240BDD"/>
    <w:p w14:paraId="379D3647" w14:textId="77777777" w:rsidR="00240BDD" w:rsidRPr="00C43864" w:rsidRDefault="00000000" w:rsidP="00C43864">
      <w:pPr>
        <w:spacing w:line="360" w:lineRule="auto"/>
        <w:jc w:val="center"/>
        <w:rPr>
          <w:rFonts w:cs="Times New Roman"/>
          <w:sz w:val="24"/>
          <w:szCs w:val="24"/>
        </w:rPr>
      </w:pPr>
      <w:r w:rsidRPr="00C43864">
        <w:rPr>
          <w:rFonts w:cs="Times New Roman"/>
          <w:b/>
          <w:sz w:val="24"/>
          <w:szCs w:val="24"/>
        </w:rPr>
        <w:t>SIMATS ENGINEERING</w:t>
      </w:r>
      <w:r w:rsidRPr="00C43864">
        <w:rPr>
          <w:rFonts w:cs="Times New Roman"/>
          <w:b/>
          <w:sz w:val="24"/>
          <w:szCs w:val="24"/>
        </w:rPr>
        <w:br/>
        <w:t>SAVEETHA INSTITUTE OF MEDICAL AND TECHNICAL SCIENCES</w:t>
      </w:r>
    </w:p>
    <w:p w14:paraId="25381617" w14:textId="77777777" w:rsidR="00240BDD" w:rsidRPr="00C43864" w:rsidRDefault="00240BDD" w:rsidP="00C43864">
      <w:pPr>
        <w:spacing w:line="360" w:lineRule="auto"/>
        <w:rPr>
          <w:rFonts w:cs="Times New Roman"/>
          <w:sz w:val="24"/>
          <w:szCs w:val="24"/>
        </w:rPr>
      </w:pPr>
    </w:p>
    <w:p w14:paraId="73B43117" w14:textId="77777777" w:rsidR="00240BDD" w:rsidRPr="00C43864" w:rsidRDefault="00000000" w:rsidP="00C43864">
      <w:pPr>
        <w:spacing w:line="360" w:lineRule="auto"/>
        <w:jc w:val="center"/>
        <w:rPr>
          <w:rFonts w:cs="Times New Roman"/>
          <w:sz w:val="24"/>
          <w:szCs w:val="24"/>
        </w:rPr>
      </w:pPr>
      <w:r w:rsidRPr="00C43864">
        <w:rPr>
          <w:rFonts w:cs="Times New Roman"/>
          <w:b/>
          <w:sz w:val="24"/>
          <w:szCs w:val="24"/>
        </w:rPr>
        <w:t>ENGINEERING DESIGN REPORT</w:t>
      </w:r>
    </w:p>
    <w:p w14:paraId="62CC3D29" w14:textId="77777777" w:rsidR="00240BDD" w:rsidRPr="00C43864" w:rsidRDefault="00000000" w:rsidP="00C43864">
      <w:pPr>
        <w:spacing w:line="360" w:lineRule="auto"/>
        <w:jc w:val="center"/>
        <w:rPr>
          <w:rFonts w:cs="Times New Roman"/>
          <w:sz w:val="24"/>
          <w:szCs w:val="24"/>
        </w:rPr>
      </w:pPr>
      <w:r w:rsidRPr="00C43864">
        <w:rPr>
          <w:rFonts w:cs="Times New Roman"/>
          <w:b/>
          <w:sz w:val="24"/>
          <w:szCs w:val="24"/>
        </w:rPr>
        <w:t>Cellular Network Evolution, Cellular Planning,</w:t>
      </w:r>
      <w:r w:rsidRPr="00C43864">
        <w:rPr>
          <w:rFonts w:cs="Times New Roman"/>
          <w:b/>
          <w:sz w:val="24"/>
          <w:szCs w:val="24"/>
        </w:rPr>
        <w:br/>
        <w:t>Spectrum Allocation and Interference Management</w:t>
      </w:r>
    </w:p>
    <w:p w14:paraId="505326D5" w14:textId="77777777" w:rsidR="00240BDD" w:rsidRPr="00C43864" w:rsidRDefault="00240BDD" w:rsidP="00C43864">
      <w:pPr>
        <w:spacing w:line="360" w:lineRule="auto"/>
        <w:rPr>
          <w:rFonts w:cs="Times New Roman"/>
          <w:sz w:val="24"/>
          <w:szCs w:val="24"/>
        </w:rPr>
      </w:pPr>
    </w:p>
    <w:p w14:paraId="2105AA86" w14:textId="77777777" w:rsidR="00240BDD" w:rsidRPr="00C43864" w:rsidRDefault="00000000" w:rsidP="00C43864">
      <w:pPr>
        <w:spacing w:line="360" w:lineRule="auto"/>
        <w:jc w:val="center"/>
        <w:rPr>
          <w:rFonts w:cs="Times New Roman"/>
          <w:sz w:val="24"/>
          <w:szCs w:val="24"/>
        </w:rPr>
      </w:pPr>
      <w:r w:rsidRPr="00C43864">
        <w:rPr>
          <w:rFonts w:cs="Times New Roman"/>
          <w:sz w:val="24"/>
          <w:szCs w:val="24"/>
        </w:rPr>
        <w:t>CO1 – Cellular Network Design for a 5G/6G-Ready Six-State Network</w:t>
      </w:r>
    </w:p>
    <w:p w14:paraId="716B94CB" w14:textId="77777777" w:rsidR="00240BDD" w:rsidRPr="00C43864" w:rsidRDefault="00240BDD" w:rsidP="00C43864">
      <w:pPr>
        <w:spacing w:line="360" w:lineRule="auto"/>
        <w:rPr>
          <w:rFonts w:cs="Times New Roman"/>
          <w:sz w:val="24"/>
          <w:szCs w:val="24"/>
        </w:rPr>
      </w:pPr>
    </w:p>
    <w:p w14:paraId="47381FD7" w14:textId="77777777" w:rsidR="00240BDD" w:rsidRPr="00C43864" w:rsidRDefault="00240BDD" w:rsidP="00C43864">
      <w:pPr>
        <w:spacing w:line="360" w:lineRule="auto"/>
        <w:rPr>
          <w:rFonts w:cs="Times New Roman"/>
          <w:sz w:val="24"/>
          <w:szCs w:val="24"/>
        </w:rPr>
      </w:pPr>
    </w:p>
    <w:p w14:paraId="4F2A4AC1" w14:textId="77777777" w:rsidR="00240BDD" w:rsidRPr="00C43864" w:rsidRDefault="00240BDD" w:rsidP="00C43864">
      <w:pPr>
        <w:spacing w:line="360" w:lineRule="auto"/>
        <w:rPr>
          <w:rFonts w:cs="Times New Roman"/>
          <w:sz w:val="24"/>
          <w:szCs w:val="24"/>
        </w:rPr>
      </w:pPr>
    </w:p>
    <w:p w14:paraId="2482AB2D" w14:textId="00E10072" w:rsidR="00240BDD" w:rsidRPr="00C43864" w:rsidRDefault="00000000" w:rsidP="00C43864">
      <w:pPr>
        <w:spacing w:line="360" w:lineRule="auto"/>
        <w:jc w:val="center"/>
        <w:rPr>
          <w:rFonts w:cs="Times New Roman"/>
          <w:sz w:val="24"/>
          <w:szCs w:val="24"/>
        </w:rPr>
      </w:pPr>
      <w:r w:rsidRPr="00C43864">
        <w:rPr>
          <w:rFonts w:cs="Times New Roman"/>
          <w:sz w:val="24"/>
          <w:szCs w:val="24"/>
        </w:rPr>
        <w:t xml:space="preserve">Submitted by: </w:t>
      </w:r>
      <w:r w:rsidR="00C43864" w:rsidRPr="00C43864">
        <w:rPr>
          <w:rFonts w:cs="Times New Roman"/>
          <w:sz w:val="24"/>
          <w:szCs w:val="24"/>
        </w:rPr>
        <w:t>S. K. Jananipriya</w:t>
      </w:r>
    </w:p>
    <w:p w14:paraId="43EDA7C0" w14:textId="1E74CD4C" w:rsidR="00240BDD" w:rsidRPr="00C43864" w:rsidRDefault="00000000" w:rsidP="00C43864">
      <w:pPr>
        <w:spacing w:line="360" w:lineRule="auto"/>
        <w:jc w:val="center"/>
        <w:rPr>
          <w:rFonts w:cs="Times New Roman"/>
          <w:sz w:val="24"/>
          <w:szCs w:val="24"/>
        </w:rPr>
      </w:pPr>
      <w:r w:rsidRPr="00C43864">
        <w:rPr>
          <w:rFonts w:cs="Times New Roman"/>
          <w:sz w:val="24"/>
          <w:szCs w:val="24"/>
        </w:rPr>
        <w:t xml:space="preserve">Register Number: </w:t>
      </w:r>
      <w:r w:rsidR="00C43864" w:rsidRPr="00C43864">
        <w:rPr>
          <w:rFonts w:cs="Times New Roman"/>
          <w:sz w:val="24"/>
          <w:szCs w:val="24"/>
        </w:rPr>
        <w:t>192412105</w:t>
      </w:r>
    </w:p>
    <w:p w14:paraId="0F4958C1" w14:textId="77777777" w:rsidR="00240BDD" w:rsidRPr="00C43864" w:rsidRDefault="00000000" w:rsidP="00C43864">
      <w:pPr>
        <w:spacing w:line="360" w:lineRule="auto"/>
        <w:jc w:val="center"/>
        <w:rPr>
          <w:rFonts w:cs="Times New Roman"/>
          <w:sz w:val="24"/>
          <w:szCs w:val="24"/>
        </w:rPr>
      </w:pPr>
      <w:r w:rsidRPr="00C43864">
        <w:rPr>
          <w:rFonts w:cs="Times New Roman"/>
          <w:sz w:val="24"/>
          <w:szCs w:val="24"/>
        </w:rPr>
        <w:t>Department: Electronics and Communication Engineering</w:t>
      </w:r>
    </w:p>
    <w:p w14:paraId="0BDE9C17" w14:textId="77777777" w:rsidR="00240BDD" w:rsidRPr="00C43864" w:rsidRDefault="00000000" w:rsidP="00C43864">
      <w:pPr>
        <w:spacing w:line="360" w:lineRule="auto"/>
        <w:jc w:val="center"/>
        <w:rPr>
          <w:rFonts w:cs="Times New Roman"/>
          <w:sz w:val="24"/>
          <w:szCs w:val="24"/>
        </w:rPr>
      </w:pPr>
      <w:r w:rsidRPr="00C43864">
        <w:rPr>
          <w:rFonts w:cs="Times New Roman"/>
          <w:sz w:val="24"/>
          <w:szCs w:val="24"/>
        </w:rPr>
        <w:t>Academic Year: 2026–2027</w:t>
      </w:r>
    </w:p>
    <w:p w14:paraId="62ADDEDF" w14:textId="77777777" w:rsidR="00240BDD" w:rsidRPr="00C43864" w:rsidRDefault="00000000" w:rsidP="00C43864">
      <w:pPr>
        <w:spacing w:line="360" w:lineRule="auto"/>
        <w:rPr>
          <w:rFonts w:cs="Times New Roman"/>
          <w:sz w:val="24"/>
          <w:szCs w:val="24"/>
        </w:rPr>
      </w:pPr>
      <w:r w:rsidRPr="00C43864">
        <w:rPr>
          <w:rFonts w:cs="Times New Roman"/>
          <w:sz w:val="24"/>
          <w:szCs w:val="24"/>
        </w:rPr>
        <w:br w:type="page"/>
      </w:r>
    </w:p>
    <w:p w14:paraId="434BF5CA"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lastRenderedPageBreak/>
        <w:t>Abstract</w:t>
      </w:r>
    </w:p>
    <w:p w14:paraId="54212BFC" w14:textId="77777777" w:rsidR="00240BDD" w:rsidRPr="00C43864" w:rsidRDefault="00000000" w:rsidP="00C43864">
      <w:pPr>
        <w:spacing w:line="360" w:lineRule="auto"/>
        <w:rPr>
          <w:rFonts w:cs="Times New Roman"/>
          <w:sz w:val="24"/>
          <w:szCs w:val="24"/>
        </w:rPr>
      </w:pPr>
      <w:r w:rsidRPr="00C43864">
        <w:rPr>
          <w:rFonts w:cs="Times New Roman"/>
          <w:sz w:val="24"/>
          <w:szCs w:val="24"/>
        </w:rPr>
        <w:t>This report proposes an integrated 5G-ready cellular network for Tamil Nadu, Karnataka, Kerala, Maharashtra, Gujarat and Uttar Pradesh. The design supports enhanced mobile broadband (eMBB), ultra-reliable low-latency communications (URLLC), massive machine-type communications (mMTC), emergency services, transport corridors, remote healthcare and industrial automation. A heterogeneous radio-access network is selected: sub-1 GHz macro coverage, mid-band 5G NR capacity, and mmWave small cells at dense hotspots. The report compares two architectures, estimates traffic and cells, evaluates spectrum and propagation, applies the Erlang B model with a 2% blocking target, and proposes network slicing, edge computing, AI-assisted radio-resource management, cybersecurity and energy-saving mechanisms. Since the assignment brief does not provide actual subscriber counts, busy-hour traffic per subscriber or channel inventory, explicit planning assumptions are used and identified as illustrative. These values are suitable for an academic design exercise and must be replaced by operator measurements before deployment.</w:t>
      </w:r>
    </w:p>
    <w:p w14:paraId="17A14814"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Contents</w:t>
      </w:r>
    </w:p>
    <w:p w14:paraId="2156DF77"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1. Introduction and Design Scope</w:t>
      </w:r>
    </w:p>
    <w:p w14:paraId="1CC7948D"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2. Stage 1 – Requirements and Problem Formulation</w:t>
      </w:r>
    </w:p>
    <w:p w14:paraId="2F9AA12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3. Stage 2 – Spectrum, Radio Access and Cellular Planning</w:t>
      </w:r>
    </w:p>
    <w:p w14:paraId="5A25AE16"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4. Stage 3 – Quantitative Capacity, Latency and Reliability</w:t>
      </w:r>
    </w:p>
    <w:p w14:paraId="7294560F"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5. Erlang B Traffic-Channel Analysis</w:t>
      </w:r>
    </w:p>
    <w:p w14:paraId="3FB67602"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6. Stage 4 – Architecture Evaluation and Selection</w:t>
      </w:r>
    </w:p>
    <w:p w14:paraId="55DA0E9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7. Stage 5 – Integrated 5G/6G Network Design</w:t>
      </w:r>
    </w:p>
    <w:p w14:paraId="296F2F05"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8. Stage 6 – Validation, Scenarios and Verification</w:t>
      </w:r>
    </w:p>
    <w:p w14:paraId="296B9D12"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9. Deployment Plan, Risks and Final Recommendation</w:t>
      </w:r>
    </w:p>
    <w:p w14:paraId="2075959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References</w:t>
      </w:r>
    </w:p>
    <w:p w14:paraId="59F91B85"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Appendix A – Assumptions and Calculation Notes</w:t>
      </w:r>
    </w:p>
    <w:p w14:paraId="44A1B0B5" w14:textId="77777777" w:rsidR="00240BDD" w:rsidRPr="00C43864" w:rsidRDefault="00000000" w:rsidP="00C43864">
      <w:pPr>
        <w:spacing w:line="360" w:lineRule="auto"/>
        <w:rPr>
          <w:rFonts w:cs="Times New Roman"/>
          <w:sz w:val="24"/>
          <w:szCs w:val="24"/>
        </w:rPr>
      </w:pPr>
      <w:r w:rsidRPr="00C43864">
        <w:rPr>
          <w:rFonts w:cs="Times New Roman"/>
          <w:sz w:val="24"/>
          <w:szCs w:val="24"/>
        </w:rPr>
        <w:br w:type="page"/>
      </w:r>
    </w:p>
    <w:p w14:paraId="0A04DF1B"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lastRenderedPageBreak/>
        <w:t>1. Introduction and Design Scope</w:t>
      </w:r>
    </w:p>
    <w:p w14:paraId="77EFCFFE" w14:textId="77777777" w:rsidR="00240BDD" w:rsidRPr="00C43864" w:rsidRDefault="00000000" w:rsidP="00C43864">
      <w:pPr>
        <w:spacing w:line="360" w:lineRule="auto"/>
        <w:rPr>
          <w:rFonts w:cs="Times New Roman"/>
          <w:sz w:val="24"/>
          <w:szCs w:val="24"/>
        </w:rPr>
      </w:pPr>
      <w:r w:rsidRPr="00C43864">
        <w:rPr>
          <w:rFonts w:cs="Times New Roman"/>
          <w:sz w:val="24"/>
          <w:szCs w:val="24"/>
        </w:rPr>
        <w:t>Cellular networks have evolved from analogue voice systems to digital mobile broadband and programmable 5G networks. A six-state design must account for large differences in population density, terrain, transport infrastructure, industrial clusters and access to fibre backhaul. A single radio configuration cannot efficiently serve a dense metropolitan district and a sparsely populated rural region at the same time.</w:t>
      </w:r>
    </w:p>
    <w:p w14:paraId="460B4486" w14:textId="77777777" w:rsidR="00240BDD" w:rsidRPr="00C43864" w:rsidRDefault="00000000" w:rsidP="00C43864">
      <w:pPr>
        <w:spacing w:line="360" w:lineRule="auto"/>
        <w:rPr>
          <w:rFonts w:cs="Times New Roman"/>
          <w:sz w:val="24"/>
          <w:szCs w:val="24"/>
        </w:rPr>
      </w:pPr>
      <w:r w:rsidRPr="00C43864">
        <w:rPr>
          <w:rFonts w:cs="Times New Roman"/>
          <w:sz w:val="24"/>
          <w:szCs w:val="24"/>
        </w:rPr>
        <w:t>The proposed design uses 5G New Radio (NR) and a 5G Core as the implementable baseline. It includes a migration path toward future 6G concepts, but does not treat unstandardized 6G capabilities as commercially deployable today. The design is regional and conceptual: precise site selection requires drive tests, spectrum licences, geospatial population data, operator traffic records, fibre-route information and regulatory approval.</w:t>
      </w:r>
    </w:p>
    <w:p w14:paraId="3950AF42"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1.1 Objectives</w:t>
      </w:r>
    </w:p>
    <w:p w14:paraId="67604400"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Compare 1G–6G evolution, spectrum use and practical spectrum overheads.</w:t>
      </w:r>
    </w:p>
    <w:p w14:paraId="731DA9B6"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Allocate low-, mid- and high-band spectrum according to coverage and capacity needs.</w:t>
      </w:r>
    </w:p>
    <w:p w14:paraId="540492A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Estimate traffic demand, cell count, spectrum capacity and equivalent traffic-channel requirements.</w:t>
      </w:r>
    </w:p>
    <w:p w14:paraId="4E7B852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Compare a macro-focused design with a heterogeneous macro/small-cell/edge design.</w:t>
      </w:r>
    </w:p>
    <w:p w14:paraId="73B043F8"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Integrate slicing, mobility, edge computing, AI-based optimization, cybersecurity and energy efficiency.</w:t>
      </w:r>
    </w:p>
    <w:p w14:paraId="4C2C6546"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Validate the proposal against congestion and infrastructure-failure scenarios.</w:t>
      </w:r>
    </w:p>
    <w:p w14:paraId="5E3602B9"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1.2 Network-wide service targets</w:t>
      </w:r>
    </w:p>
    <w:tbl>
      <w:tblPr>
        <w:tblStyle w:val="TableGrid"/>
        <w:tblW w:w="0" w:type="auto"/>
        <w:jc w:val="center"/>
        <w:tblLook w:val="04A0" w:firstRow="1" w:lastRow="0" w:firstColumn="1" w:lastColumn="0" w:noHBand="0" w:noVBand="1"/>
      </w:tblPr>
      <w:tblGrid>
        <w:gridCol w:w="3308"/>
        <w:gridCol w:w="3309"/>
        <w:gridCol w:w="3309"/>
      </w:tblGrid>
      <w:tr w:rsidR="00240BDD" w:rsidRPr="00C43864" w14:paraId="006690BA" w14:textId="77777777">
        <w:trPr>
          <w:jc w:val="center"/>
        </w:trPr>
        <w:tc>
          <w:tcPr>
            <w:tcW w:w="3312" w:type="dxa"/>
            <w:shd w:val="clear" w:color="auto" w:fill="D9EAF7"/>
            <w:vAlign w:val="center"/>
          </w:tcPr>
          <w:p w14:paraId="59135A4F"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Indicator</w:t>
            </w:r>
          </w:p>
        </w:tc>
        <w:tc>
          <w:tcPr>
            <w:tcW w:w="3312" w:type="dxa"/>
            <w:shd w:val="clear" w:color="auto" w:fill="D9EAF7"/>
            <w:vAlign w:val="center"/>
          </w:tcPr>
          <w:p w14:paraId="567C6024"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Planning target</w:t>
            </w:r>
          </w:p>
        </w:tc>
        <w:tc>
          <w:tcPr>
            <w:tcW w:w="3312" w:type="dxa"/>
            <w:shd w:val="clear" w:color="auto" w:fill="D9EAF7"/>
            <w:vAlign w:val="center"/>
          </w:tcPr>
          <w:p w14:paraId="7C811DF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Reason / interpretation</w:t>
            </w:r>
          </w:p>
        </w:tc>
      </w:tr>
      <w:tr w:rsidR="00240BDD" w:rsidRPr="00C43864" w14:paraId="7A96FA39" w14:textId="77777777">
        <w:trPr>
          <w:jc w:val="center"/>
        </w:trPr>
        <w:tc>
          <w:tcPr>
            <w:tcW w:w="3312" w:type="dxa"/>
            <w:vAlign w:val="center"/>
          </w:tcPr>
          <w:p w14:paraId="79CAF1E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Urban downlink user rate</w:t>
            </w:r>
          </w:p>
        </w:tc>
        <w:tc>
          <w:tcPr>
            <w:tcW w:w="3312" w:type="dxa"/>
            <w:vAlign w:val="center"/>
          </w:tcPr>
          <w:p w14:paraId="79AE3B6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Typical 100 Mbps; hotspot peak target 1 Gbps</w:t>
            </w:r>
          </w:p>
        </w:tc>
        <w:tc>
          <w:tcPr>
            <w:tcW w:w="3312" w:type="dxa"/>
            <w:vAlign w:val="center"/>
          </w:tcPr>
          <w:p w14:paraId="2C2AA20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Planning targets, not guaranteed rates; depend on bandwidth, SINR and load.</w:t>
            </w:r>
          </w:p>
        </w:tc>
      </w:tr>
      <w:tr w:rsidR="00240BDD" w:rsidRPr="00C43864" w14:paraId="23A5195B" w14:textId="77777777">
        <w:trPr>
          <w:jc w:val="center"/>
        </w:trPr>
        <w:tc>
          <w:tcPr>
            <w:tcW w:w="3312" w:type="dxa"/>
            <w:vAlign w:val="center"/>
          </w:tcPr>
          <w:p w14:paraId="0D0A5D7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Rural coverage</w:t>
            </w:r>
          </w:p>
        </w:tc>
        <w:tc>
          <w:tcPr>
            <w:tcW w:w="3312" w:type="dxa"/>
            <w:vAlign w:val="center"/>
          </w:tcPr>
          <w:p w14:paraId="61AF478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Outdoor service target ≥95% of populated planning area</w:t>
            </w:r>
          </w:p>
        </w:tc>
        <w:tc>
          <w:tcPr>
            <w:tcW w:w="3312" w:type="dxa"/>
            <w:vAlign w:val="center"/>
          </w:tcPr>
          <w:p w14:paraId="1C5929C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Requires terrain-aware radio planning and low-band coverage.</w:t>
            </w:r>
          </w:p>
        </w:tc>
      </w:tr>
      <w:tr w:rsidR="00240BDD" w:rsidRPr="00C43864" w14:paraId="678CEE4A" w14:textId="77777777">
        <w:trPr>
          <w:jc w:val="center"/>
        </w:trPr>
        <w:tc>
          <w:tcPr>
            <w:tcW w:w="3312" w:type="dxa"/>
            <w:vAlign w:val="center"/>
          </w:tcPr>
          <w:p w14:paraId="0FCA6BE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URLLC application latency</w:t>
            </w:r>
          </w:p>
        </w:tc>
        <w:tc>
          <w:tcPr>
            <w:tcW w:w="3312" w:type="dxa"/>
            <w:vAlign w:val="center"/>
          </w:tcPr>
          <w:p w14:paraId="639A97C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Target ≤10 ms end-to-end for selected local industrial/vehicle use cases</w:t>
            </w:r>
          </w:p>
        </w:tc>
        <w:tc>
          <w:tcPr>
            <w:tcW w:w="3312" w:type="dxa"/>
            <w:vAlign w:val="center"/>
          </w:tcPr>
          <w:p w14:paraId="3CBE31E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Requires local edge processing and controlled transport; not every 5G service guarantees this.</w:t>
            </w:r>
          </w:p>
        </w:tc>
      </w:tr>
      <w:tr w:rsidR="00240BDD" w:rsidRPr="00C43864" w14:paraId="4988A769" w14:textId="77777777">
        <w:trPr>
          <w:jc w:val="center"/>
        </w:trPr>
        <w:tc>
          <w:tcPr>
            <w:tcW w:w="3312" w:type="dxa"/>
            <w:vAlign w:val="center"/>
          </w:tcPr>
          <w:p w14:paraId="249E6D6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Packet delivery for critical slice</w:t>
            </w:r>
          </w:p>
        </w:tc>
        <w:tc>
          <w:tcPr>
            <w:tcW w:w="3312" w:type="dxa"/>
            <w:vAlign w:val="center"/>
          </w:tcPr>
          <w:p w14:paraId="6CD76D5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Target ≥99.99% in engineered local zone</w:t>
            </w:r>
          </w:p>
        </w:tc>
        <w:tc>
          <w:tcPr>
            <w:tcW w:w="3312" w:type="dxa"/>
            <w:vAlign w:val="center"/>
          </w:tcPr>
          <w:p w14:paraId="1F8B996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Needs redundancy, admission control, robust radio links and testing.</w:t>
            </w:r>
          </w:p>
        </w:tc>
      </w:tr>
      <w:tr w:rsidR="00240BDD" w:rsidRPr="00C43864" w14:paraId="5FD67E79" w14:textId="77777777">
        <w:trPr>
          <w:jc w:val="center"/>
        </w:trPr>
        <w:tc>
          <w:tcPr>
            <w:tcW w:w="3312" w:type="dxa"/>
            <w:vAlign w:val="center"/>
          </w:tcPr>
          <w:p w14:paraId="1A8B3A5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Busy-hour blocking</w:t>
            </w:r>
          </w:p>
        </w:tc>
        <w:tc>
          <w:tcPr>
            <w:tcW w:w="3312" w:type="dxa"/>
            <w:vAlign w:val="center"/>
          </w:tcPr>
          <w:p w14:paraId="6A4900B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 for the equivalent Erlang B traffic model</w:t>
            </w:r>
          </w:p>
        </w:tc>
        <w:tc>
          <w:tcPr>
            <w:tcW w:w="3312" w:type="dxa"/>
            <w:vAlign w:val="center"/>
          </w:tcPr>
          <w:p w14:paraId="0DADCE7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Used as the assignment's channel-planning threshold.</w:t>
            </w:r>
          </w:p>
        </w:tc>
      </w:tr>
      <w:tr w:rsidR="00240BDD" w:rsidRPr="00C43864" w14:paraId="41F727EC" w14:textId="77777777">
        <w:trPr>
          <w:jc w:val="center"/>
        </w:trPr>
        <w:tc>
          <w:tcPr>
            <w:tcW w:w="3312" w:type="dxa"/>
            <w:vAlign w:val="center"/>
          </w:tcPr>
          <w:p w14:paraId="42BEE09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IoT connection density</w:t>
            </w:r>
          </w:p>
        </w:tc>
        <w:tc>
          <w:tcPr>
            <w:tcW w:w="3312" w:type="dxa"/>
            <w:vAlign w:val="center"/>
          </w:tcPr>
          <w:p w14:paraId="2FBAEBA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Design for ≥100,000 devices/km² in selected hotspots</w:t>
            </w:r>
          </w:p>
        </w:tc>
        <w:tc>
          <w:tcPr>
            <w:tcW w:w="3312" w:type="dxa"/>
            <w:vAlign w:val="center"/>
          </w:tcPr>
          <w:p w14:paraId="30EE531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 planning ambition; actual capacity depends on device behaviour and radio configuration.</w:t>
            </w:r>
          </w:p>
        </w:tc>
      </w:tr>
      <w:tr w:rsidR="00240BDD" w:rsidRPr="00C43864" w14:paraId="458EA689" w14:textId="77777777">
        <w:trPr>
          <w:jc w:val="center"/>
        </w:trPr>
        <w:tc>
          <w:tcPr>
            <w:tcW w:w="3312" w:type="dxa"/>
            <w:vAlign w:val="center"/>
          </w:tcPr>
          <w:p w14:paraId="41C35EE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Energy</w:t>
            </w:r>
          </w:p>
        </w:tc>
        <w:tc>
          <w:tcPr>
            <w:tcW w:w="3312" w:type="dxa"/>
            <w:vAlign w:val="center"/>
          </w:tcPr>
          <w:p w14:paraId="7F1C996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Reduce energy per delivered bit by 20% versus the baseline in the test scenario</w:t>
            </w:r>
          </w:p>
        </w:tc>
        <w:tc>
          <w:tcPr>
            <w:tcW w:w="3312" w:type="dxa"/>
            <w:vAlign w:val="center"/>
          </w:tcPr>
          <w:p w14:paraId="073634A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Must be verified using measured site and traffic energy.</w:t>
            </w:r>
          </w:p>
        </w:tc>
      </w:tr>
      <w:tr w:rsidR="00240BDD" w:rsidRPr="00C43864" w14:paraId="00E2873D" w14:textId="77777777">
        <w:trPr>
          <w:jc w:val="center"/>
        </w:trPr>
        <w:tc>
          <w:tcPr>
            <w:tcW w:w="3312" w:type="dxa"/>
            <w:vAlign w:val="center"/>
          </w:tcPr>
          <w:p w14:paraId="0C97B4A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Security</w:t>
            </w:r>
          </w:p>
        </w:tc>
        <w:tc>
          <w:tcPr>
            <w:tcW w:w="3312" w:type="dxa"/>
            <w:vAlign w:val="center"/>
          </w:tcPr>
          <w:p w14:paraId="32F95CA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No unauthenticated user-plane access; critical services have tested recovery procedures</w:t>
            </w:r>
          </w:p>
        </w:tc>
        <w:tc>
          <w:tcPr>
            <w:tcW w:w="3312" w:type="dxa"/>
            <w:vAlign w:val="center"/>
          </w:tcPr>
          <w:p w14:paraId="2365510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Requires security audits and operational monitoring.</w:t>
            </w:r>
          </w:p>
        </w:tc>
      </w:tr>
    </w:tbl>
    <w:p w14:paraId="0D6ACEC9" w14:textId="77777777" w:rsidR="00240BDD" w:rsidRPr="00C43864" w:rsidRDefault="00240BDD" w:rsidP="00C43864">
      <w:pPr>
        <w:spacing w:line="360" w:lineRule="auto"/>
        <w:rPr>
          <w:rFonts w:cs="Times New Roman"/>
          <w:sz w:val="24"/>
          <w:szCs w:val="24"/>
        </w:rPr>
      </w:pPr>
    </w:p>
    <w:p w14:paraId="558B9B29"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2. Stage 1 – Requirements and Problem Formulation</w:t>
      </w:r>
    </w:p>
    <w:p w14:paraId="67CC4454"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2.1 State-wise requirements matrix</w:t>
      </w:r>
    </w:p>
    <w:tbl>
      <w:tblPr>
        <w:tblStyle w:val="TableGrid"/>
        <w:tblW w:w="0" w:type="auto"/>
        <w:jc w:val="center"/>
        <w:tblLook w:val="04A0" w:firstRow="1" w:lastRow="0" w:firstColumn="1" w:lastColumn="0" w:noHBand="0" w:noVBand="1"/>
      </w:tblPr>
      <w:tblGrid>
        <w:gridCol w:w="1867"/>
        <w:gridCol w:w="2009"/>
        <w:gridCol w:w="2070"/>
        <w:gridCol w:w="2043"/>
        <w:gridCol w:w="1937"/>
      </w:tblGrid>
      <w:tr w:rsidR="00240BDD" w:rsidRPr="00C43864" w14:paraId="05BC0AC5" w14:textId="77777777">
        <w:trPr>
          <w:jc w:val="center"/>
        </w:trPr>
        <w:tc>
          <w:tcPr>
            <w:tcW w:w="1987" w:type="dxa"/>
            <w:shd w:val="clear" w:color="auto" w:fill="D9EAF7"/>
            <w:vAlign w:val="center"/>
          </w:tcPr>
          <w:p w14:paraId="2266372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State</w:t>
            </w:r>
          </w:p>
        </w:tc>
        <w:tc>
          <w:tcPr>
            <w:tcW w:w="1987" w:type="dxa"/>
            <w:shd w:val="clear" w:color="auto" w:fill="D9EAF7"/>
            <w:vAlign w:val="center"/>
          </w:tcPr>
          <w:p w14:paraId="465F0845"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Environment</w:t>
            </w:r>
          </w:p>
        </w:tc>
        <w:tc>
          <w:tcPr>
            <w:tcW w:w="1987" w:type="dxa"/>
            <w:shd w:val="clear" w:color="auto" w:fill="D9EAF7"/>
            <w:vAlign w:val="center"/>
          </w:tcPr>
          <w:p w14:paraId="46CD19E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Main demand/challenge</w:t>
            </w:r>
          </w:p>
        </w:tc>
        <w:tc>
          <w:tcPr>
            <w:tcW w:w="1987" w:type="dxa"/>
            <w:shd w:val="clear" w:color="auto" w:fill="D9EAF7"/>
            <w:vAlign w:val="center"/>
          </w:tcPr>
          <w:p w14:paraId="4566AC46"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Recommended radio strategy</w:t>
            </w:r>
          </w:p>
        </w:tc>
        <w:tc>
          <w:tcPr>
            <w:tcW w:w="1987" w:type="dxa"/>
            <w:shd w:val="clear" w:color="auto" w:fill="D9EAF7"/>
            <w:vAlign w:val="center"/>
          </w:tcPr>
          <w:p w14:paraId="0EEBC39D"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Measurable planning target</w:t>
            </w:r>
          </w:p>
        </w:tc>
      </w:tr>
      <w:tr w:rsidR="00240BDD" w:rsidRPr="00C43864" w14:paraId="412EA023" w14:textId="77777777">
        <w:trPr>
          <w:jc w:val="center"/>
        </w:trPr>
        <w:tc>
          <w:tcPr>
            <w:tcW w:w="1987" w:type="dxa"/>
            <w:vAlign w:val="center"/>
          </w:tcPr>
          <w:p w14:paraId="19F5EBE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Tamil Nadu</w:t>
            </w:r>
          </w:p>
        </w:tc>
        <w:tc>
          <w:tcPr>
            <w:tcW w:w="1987" w:type="dxa"/>
            <w:vAlign w:val="center"/>
          </w:tcPr>
          <w:p w14:paraId="0A67C99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Chennai, Coimbatore, industrial corridors, ports and rural districts</w:t>
            </w:r>
          </w:p>
        </w:tc>
        <w:tc>
          <w:tcPr>
            <w:tcW w:w="1987" w:type="dxa"/>
            <w:vAlign w:val="center"/>
          </w:tcPr>
          <w:p w14:paraId="4AACB8E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High video and enterprise traffic; factory automation; transport mobility</w:t>
            </w:r>
          </w:p>
        </w:tc>
        <w:tc>
          <w:tcPr>
            <w:tcW w:w="1987" w:type="dxa"/>
            <w:vAlign w:val="center"/>
          </w:tcPr>
          <w:p w14:paraId="5F3E987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Low-band macro + 3.5 GHz mid-band; mmWave in dense hotspots; edge at industrial/transport hubs</w:t>
            </w:r>
          </w:p>
        </w:tc>
        <w:tc>
          <w:tcPr>
            <w:tcW w:w="1987" w:type="dxa"/>
            <w:vAlign w:val="center"/>
          </w:tcPr>
          <w:p w14:paraId="7F6AD9B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Urban 100 Mbps typical target; local industrial latency ≤10 ms</w:t>
            </w:r>
          </w:p>
        </w:tc>
      </w:tr>
      <w:tr w:rsidR="00240BDD" w:rsidRPr="00C43864" w14:paraId="385D983C" w14:textId="77777777">
        <w:trPr>
          <w:jc w:val="center"/>
        </w:trPr>
        <w:tc>
          <w:tcPr>
            <w:tcW w:w="1987" w:type="dxa"/>
            <w:vAlign w:val="center"/>
          </w:tcPr>
          <w:p w14:paraId="34C23F2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Karnataka</w:t>
            </w:r>
          </w:p>
        </w:tc>
        <w:tc>
          <w:tcPr>
            <w:tcW w:w="1987" w:type="dxa"/>
            <w:vAlign w:val="center"/>
          </w:tcPr>
          <w:p w14:paraId="1AFD65E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Bengaluru technology clusters, Mysuru, highways and </w:t>
            </w:r>
            <w:r w:rsidRPr="00C43864">
              <w:rPr>
                <w:rFonts w:cs="Times New Roman"/>
                <w:sz w:val="24"/>
                <w:szCs w:val="24"/>
              </w:rPr>
              <w:lastRenderedPageBreak/>
              <w:t>rural interior</w:t>
            </w:r>
          </w:p>
        </w:tc>
        <w:tc>
          <w:tcPr>
            <w:tcW w:w="1987" w:type="dxa"/>
            <w:vAlign w:val="center"/>
          </w:tcPr>
          <w:p w14:paraId="063A30C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Very high urban data demand; cloud/AI traffic; connected mobility</w:t>
            </w:r>
          </w:p>
        </w:tc>
        <w:tc>
          <w:tcPr>
            <w:tcW w:w="1987" w:type="dxa"/>
            <w:vAlign w:val="center"/>
          </w:tcPr>
          <w:p w14:paraId="016CD83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Dense mid-band macro/small cells; mmWave at selected hotspots; </w:t>
            </w:r>
            <w:r w:rsidRPr="00C43864">
              <w:rPr>
                <w:rFonts w:cs="Times New Roman"/>
                <w:sz w:val="24"/>
                <w:szCs w:val="24"/>
              </w:rPr>
              <w:lastRenderedPageBreak/>
              <w:t>rural low-band</w:t>
            </w:r>
          </w:p>
        </w:tc>
        <w:tc>
          <w:tcPr>
            <w:tcW w:w="1987" w:type="dxa"/>
            <w:vAlign w:val="center"/>
          </w:tcPr>
          <w:p w14:paraId="47AFA51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Busy-hour cell utilization &lt;80%; edge within metro/industrial </w:t>
            </w:r>
            <w:r w:rsidRPr="00C43864">
              <w:rPr>
                <w:rFonts w:cs="Times New Roman"/>
                <w:sz w:val="24"/>
                <w:szCs w:val="24"/>
              </w:rPr>
              <w:lastRenderedPageBreak/>
              <w:t>zones</w:t>
            </w:r>
          </w:p>
        </w:tc>
      </w:tr>
      <w:tr w:rsidR="00240BDD" w:rsidRPr="00C43864" w14:paraId="6FCD5492" w14:textId="77777777">
        <w:trPr>
          <w:jc w:val="center"/>
        </w:trPr>
        <w:tc>
          <w:tcPr>
            <w:tcW w:w="1987" w:type="dxa"/>
            <w:vAlign w:val="center"/>
          </w:tcPr>
          <w:p w14:paraId="79A6072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Kerala</w:t>
            </w:r>
          </w:p>
        </w:tc>
        <w:tc>
          <w:tcPr>
            <w:tcW w:w="1987" w:type="dxa"/>
            <w:vAlign w:val="center"/>
          </w:tcPr>
          <w:p w14:paraId="716DE07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Linear coastal settlements, hills, tourism and high-mobility roads</w:t>
            </w:r>
          </w:p>
        </w:tc>
        <w:tc>
          <w:tcPr>
            <w:tcW w:w="1987" w:type="dxa"/>
            <w:vAlign w:val="center"/>
          </w:tcPr>
          <w:p w14:paraId="1F4A6D4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Continuous corridor coverage; disaster alerts; healthcare and tourism</w:t>
            </w:r>
          </w:p>
        </w:tc>
        <w:tc>
          <w:tcPr>
            <w:tcW w:w="1987" w:type="dxa"/>
            <w:vAlign w:val="center"/>
          </w:tcPr>
          <w:p w14:paraId="054F5AD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Low-band macro along roads; mid-band urban/town capacity; resilient backhaul</w:t>
            </w:r>
          </w:p>
        </w:tc>
        <w:tc>
          <w:tcPr>
            <w:tcW w:w="1987" w:type="dxa"/>
            <w:vAlign w:val="center"/>
          </w:tcPr>
          <w:p w14:paraId="505BE0D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≥95% populated-area outdoor coverage target; dual-route backhaul at critical sites</w:t>
            </w:r>
          </w:p>
        </w:tc>
      </w:tr>
      <w:tr w:rsidR="00240BDD" w:rsidRPr="00C43864" w14:paraId="23AD3B12" w14:textId="77777777">
        <w:trPr>
          <w:jc w:val="center"/>
        </w:trPr>
        <w:tc>
          <w:tcPr>
            <w:tcW w:w="1987" w:type="dxa"/>
            <w:vAlign w:val="center"/>
          </w:tcPr>
          <w:p w14:paraId="3332554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Maharashtra</w:t>
            </w:r>
          </w:p>
        </w:tc>
        <w:tc>
          <w:tcPr>
            <w:tcW w:w="1987" w:type="dxa"/>
            <w:vAlign w:val="center"/>
          </w:tcPr>
          <w:p w14:paraId="2CFE88E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Mumbai/Pune, industrial belts, ports, highways and rural areas</w:t>
            </w:r>
          </w:p>
        </w:tc>
        <w:tc>
          <w:tcPr>
            <w:tcW w:w="1987" w:type="dxa"/>
            <w:vAlign w:val="center"/>
          </w:tcPr>
          <w:p w14:paraId="3BD6759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Extreme dense-city capacity; finance/enterprise reliability; logistics</w:t>
            </w:r>
          </w:p>
        </w:tc>
        <w:tc>
          <w:tcPr>
            <w:tcW w:w="1987" w:type="dxa"/>
            <w:vAlign w:val="center"/>
          </w:tcPr>
          <w:p w14:paraId="2D69BE6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Mid-band macro and small cells; mmWave in high-traffic venues; low-band rural</w:t>
            </w:r>
          </w:p>
        </w:tc>
        <w:tc>
          <w:tcPr>
            <w:tcW w:w="1987" w:type="dxa"/>
            <w:vAlign w:val="center"/>
          </w:tcPr>
          <w:p w14:paraId="4CBA572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Urban hotspot capacity; critical sites with redundant power and backhaul</w:t>
            </w:r>
          </w:p>
        </w:tc>
      </w:tr>
      <w:tr w:rsidR="00240BDD" w:rsidRPr="00C43864" w14:paraId="201BF8BF" w14:textId="77777777">
        <w:trPr>
          <w:jc w:val="center"/>
        </w:trPr>
        <w:tc>
          <w:tcPr>
            <w:tcW w:w="1987" w:type="dxa"/>
            <w:vAlign w:val="center"/>
          </w:tcPr>
          <w:p w14:paraId="47BFF03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Gujarat</w:t>
            </w:r>
          </w:p>
        </w:tc>
        <w:tc>
          <w:tcPr>
            <w:tcW w:w="1987" w:type="dxa"/>
            <w:vAlign w:val="center"/>
          </w:tcPr>
          <w:p w14:paraId="296F3D2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Ahmedabad/Surat, ports, manufacturing, energy and desert/semi-rural areas</w:t>
            </w:r>
          </w:p>
        </w:tc>
        <w:tc>
          <w:tcPr>
            <w:tcW w:w="1987" w:type="dxa"/>
            <w:vAlign w:val="center"/>
          </w:tcPr>
          <w:p w14:paraId="2B8AE75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Industrial IoT, ports, logistics, wide-area coverage</w:t>
            </w:r>
          </w:p>
        </w:tc>
        <w:tc>
          <w:tcPr>
            <w:tcW w:w="1987" w:type="dxa"/>
            <w:vAlign w:val="center"/>
          </w:tcPr>
          <w:p w14:paraId="0AD93E4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Mid-band industrial cells; low-band macro; private/local edge for factories</w:t>
            </w:r>
          </w:p>
        </w:tc>
        <w:tc>
          <w:tcPr>
            <w:tcW w:w="1987" w:type="dxa"/>
            <w:vAlign w:val="center"/>
          </w:tcPr>
          <w:p w14:paraId="4B3735E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Industrial slice availability target ≥99.99% in engineered zones</w:t>
            </w:r>
          </w:p>
        </w:tc>
      </w:tr>
      <w:tr w:rsidR="00240BDD" w:rsidRPr="00C43864" w14:paraId="03FAC70C" w14:textId="77777777">
        <w:trPr>
          <w:jc w:val="center"/>
        </w:trPr>
        <w:tc>
          <w:tcPr>
            <w:tcW w:w="1987" w:type="dxa"/>
            <w:vAlign w:val="center"/>
          </w:tcPr>
          <w:p w14:paraId="6C228DB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Uttar Pradesh</w:t>
            </w:r>
          </w:p>
        </w:tc>
        <w:tc>
          <w:tcPr>
            <w:tcW w:w="1987" w:type="dxa"/>
            <w:vAlign w:val="center"/>
          </w:tcPr>
          <w:p w14:paraId="04A315D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Very large population, dense cities, towns, villages and major roads</w:t>
            </w:r>
          </w:p>
        </w:tc>
        <w:tc>
          <w:tcPr>
            <w:tcW w:w="1987" w:type="dxa"/>
            <w:vAlign w:val="center"/>
          </w:tcPr>
          <w:p w14:paraId="7F88F4A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High subscriber scale; affordability; rural coverage; public safety</w:t>
            </w:r>
          </w:p>
        </w:tc>
        <w:tc>
          <w:tcPr>
            <w:tcW w:w="1987" w:type="dxa"/>
            <w:vAlign w:val="center"/>
          </w:tcPr>
          <w:p w14:paraId="441D881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Low-band macro for broad reach; mid-band for city/town capacity; targeted small cells</w:t>
            </w:r>
          </w:p>
        </w:tc>
        <w:tc>
          <w:tcPr>
            <w:tcW w:w="1987" w:type="dxa"/>
            <w:vAlign w:val="center"/>
          </w:tcPr>
          <w:p w14:paraId="3BFA14B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Coverage and congestion targets measured district-by-district</w:t>
            </w:r>
          </w:p>
        </w:tc>
      </w:tr>
    </w:tbl>
    <w:p w14:paraId="46B2BACD" w14:textId="77777777" w:rsidR="00240BDD" w:rsidRPr="00C43864" w:rsidRDefault="00240BDD" w:rsidP="00C43864">
      <w:pPr>
        <w:spacing w:line="360" w:lineRule="auto"/>
        <w:rPr>
          <w:rFonts w:cs="Times New Roman"/>
          <w:sz w:val="24"/>
          <w:szCs w:val="24"/>
        </w:rPr>
      </w:pPr>
    </w:p>
    <w:p w14:paraId="51B52117"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2.2 Application classification</w:t>
      </w:r>
    </w:p>
    <w:tbl>
      <w:tblPr>
        <w:tblStyle w:val="TableGrid"/>
        <w:tblW w:w="0" w:type="auto"/>
        <w:jc w:val="center"/>
        <w:tblLook w:val="04A0" w:firstRow="1" w:lastRow="0" w:firstColumn="1" w:lastColumn="0" w:noHBand="0" w:noVBand="1"/>
      </w:tblPr>
      <w:tblGrid>
        <w:gridCol w:w="2497"/>
        <w:gridCol w:w="2475"/>
        <w:gridCol w:w="2477"/>
        <w:gridCol w:w="2477"/>
      </w:tblGrid>
      <w:tr w:rsidR="00240BDD" w:rsidRPr="00C43864" w14:paraId="5DEC1617" w14:textId="77777777">
        <w:trPr>
          <w:jc w:val="center"/>
        </w:trPr>
        <w:tc>
          <w:tcPr>
            <w:tcW w:w="2484" w:type="dxa"/>
            <w:shd w:val="clear" w:color="auto" w:fill="D9EAF7"/>
            <w:vAlign w:val="center"/>
          </w:tcPr>
          <w:p w14:paraId="2CC3484C"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Application</w:t>
            </w:r>
          </w:p>
        </w:tc>
        <w:tc>
          <w:tcPr>
            <w:tcW w:w="2484" w:type="dxa"/>
            <w:shd w:val="clear" w:color="auto" w:fill="D9EAF7"/>
            <w:vAlign w:val="center"/>
          </w:tcPr>
          <w:p w14:paraId="5AB95663"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Slice / category</w:t>
            </w:r>
          </w:p>
        </w:tc>
        <w:tc>
          <w:tcPr>
            <w:tcW w:w="2484" w:type="dxa"/>
            <w:shd w:val="clear" w:color="auto" w:fill="D9EAF7"/>
            <w:vAlign w:val="center"/>
          </w:tcPr>
          <w:p w14:paraId="1333F872"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Indicative engineering requirement</w:t>
            </w:r>
          </w:p>
        </w:tc>
        <w:tc>
          <w:tcPr>
            <w:tcW w:w="2484" w:type="dxa"/>
            <w:shd w:val="clear" w:color="auto" w:fill="D9EAF7"/>
            <w:vAlign w:val="center"/>
          </w:tcPr>
          <w:p w14:paraId="4BCEF725"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Design response</w:t>
            </w:r>
          </w:p>
        </w:tc>
      </w:tr>
      <w:tr w:rsidR="00240BDD" w:rsidRPr="00C43864" w14:paraId="7B472C62" w14:textId="77777777">
        <w:trPr>
          <w:jc w:val="center"/>
        </w:trPr>
        <w:tc>
          <w:tcPr>
            <w:tcW w:w="2484" w:type="dxa"/>
            <w:vAlign w:val="center"/>
          </w:tcPr>
          <w:p w14:paraId="45184D6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HD/4K video and mobile broadband</w:t>
            </w:r>
          </w:p>
        </w:tc>
        <w:tc>
          <w:tcPr>
            <w:tcW w:w="2484" w:type="dxa"/>
            <w:vAlign w:val="center"/>
          </w:tcPr>
          <w:p w14:paraId="505ECC4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eMBB</w:t>
            </w:r>
          </w:p>
        </w:tc>
        <w:tc>
          <w:tcPr>
            <w:tcW w:w="2484" w:type="dxa"/>
            <w:vAlign w:val="center"/>
          </w:tcPr>
          <w:p w14:paraId="5FCF816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High throughput; congestion-sensitive</w:t>
            </w:r>
          </w:p>
        </w:tc>
        <w:tc>
          <w:tcPr>
            <w:tcW w:w="2484" w:type="dxa"/>
            <w:vAlign w:val="center"/>
          </w:tcPr>
          <w:p w14:paraId="36A5374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Mid-band capacity, massive MIMO, scheduler QoS, hotspot </w:t>
            </w:r>
            <w:r w:rsidRPr="00C43864">
              <w:rPr>
                <w:rFonts w:cs="Times New Roman"/>
                <w:sz w:val="24"/>
                <w:szCs w:val="24"/>
              </w:rPr>
              <w:lastRenderedPageBreak/>
              <w:t>small cells</w:t>
            </w:r>
          </w:p>
        </w:tc>
      </w:tr>
      <w:tr w:rsidR="00240BDD" w:rsidRPr="00C43864" w14:paraId="462C51A0" w14:textId="77777777">
        <w:trPr>
          <w:jc w:val="center"/>
        </w:trPr>
        <w:tc>
          <w:tcPr>
            <w:tcW w:w="2484" w:type="dxa"/>
            <w:vAlign w:val="center"/>
          </w:tcPr>
          <w:p w14:paraId="747E9A4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Autonomous/connected transportation</w:t>
            </w:r>
          </w:p>
        </w:tc>
        <w:tc>
          <w:tcPr>
            <w:tcW w:w="2484" w:type="dxa"/>
            <w:vAlign w:val="center"/>
          </w:tcPr>
          <w:p w14:paraId="37F12DD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URLLC-like critical traffic; some traffic is eMBB</w:t>
            </w:r>
          </w:p>
        </w:tc>
        <w:tc>
          <w:tcPr>
            <w:tcW w:w="2484" w:type="dxa"/>
            <w:vAlign w:val="center"/>
          </w:tcPr>
          <w:p w14:paraId="3A789D2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 latency, mobility continuity, high reliability</w:t>
            </w:r>
          </w:p>
        </w:tc>
        <w:tc>
          <w:tcPr>
            <w:tcW w:w="2484" w:type="dxa"/>
            <w:vAlign w:val="center"/>
          </w:tcPr>
          <w:p w14:paraId="403180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Roadside coverage, overlapping cells, edge UPF, fast handover and prioritization</w:t>
            </w:r>
          </w:p>
        </w:tc>
      </w:tr>
      <w:tr w:rsidR="00240BDD" w:rsidRPr="00C43864" w14:paraId="7CD833BC" w14:textId="77777777">
        <w:trPr>
          <w:jc w:val="center"/>
        </w:trPr>
        <w:tc>
          <w:tcPr>
            <w:tcW w:w="2484" w:type="dxa"/>
            <w:vAlign w:val="center"/>
          </w:tcPr>
          <w:p w14:paraId="2D444A2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Remote healthcare</w:t>
            </w:r>
          </w:p>
        </w:tc>
        <w:tc>
          <w:tcPr>
            <w:tcW w:w="2484" w:type="dxa"/>
            <w:vAlign w:val="center"/>
          </w:tcPr>
          <w:p w14:paraId="2FDEA57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eMBB + critical low-latency service where applicable</w:t>
            </w:r>
          </w:p>
        </w:tc>
        <w:tc>
          <w:tcPr>
            <w:tcW w:w="2484" w:type="dxa"/>
            <w:vAlign w:val="center"/>
          </w:tcPr>
          <w:p w14:paraId="0B7FCA5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Reliable video and protected patient data</w:t>
            </w:r>
          </w:p>
        </w:tc>
        <w:tc>
          <w:tcPr>
            <w:tcW w:w="2484" w:type="dxa"/>
            <w:vAlign w:val="center"/>
          </w:tcPr>
          <w:p w14:paraId="4083015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Redundant backhaul, QoS, local edge where justified, encryption</w:t>
            </w:r>
          </w:p>
        </w:tc>
      </w:tr>
      <w:tr w:rsidR="00240BDD" w:rsidRPr="00C43864" w14:paraId="0FC943F6" w14:textId="77777777">
        <w:trPr>
          <w:jc w:val="center"/>
        </w:trPr>
        <w:tc>
          <w:tcPr>
            <w:tcW w:w="2484" w:type="dxa"/>
            <w:vAlign w:val="center"/>
          </w:tcPr>
          <w:p w14:paraId="0D45A32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Industrial automation</w:t>
            </w:r>
          </w:p>
        </w:tc>
        <w:tc>
          <w:tcPr>
            <w:tcW w:w="2484" w:type="dxa"/>
            <w:vAlign w:val="center"/>
          </w:tcPr>
          <w:p w14:paraId="4391637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URLLC / private industrial slice</w:t>
            </w:r>
          </w:p>
        </w:tc>
        <w:tc>
          <w:tcPr>
            <w:tcW w:w="2484" w:type="dxa"/>
            <w:vAlign w:val="center"/>
          </w:tcPr>
          <w:p w14:paraId="3BA0B01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Predictable latency, availability and isolation</w:t>
            </w:r>
          </w:p>
        </w:tc>
        <w:tc>
          <w:tcPr>
            <w:tcW w:w="2484" w:type="dxa"/>
            <w:vAlign w:val="center"/>
          </w:tcPr>
          <w:p w14:paraId="1E8FDAC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Local 5G, edge compute, deterministic application design and backup links</w:t>
            </w:r>
          </w:p>
        </w:tc>
      </w:tr>
      <w:tr w:rsidR="00240BDD" w:rsidRPr="00C43864" w14:paraId="716BC055" w14:textId="77777777">
        <w:trPr>
          <w:jc w:val="center"/>
        </w:trPr>
        <w:tc>
          <w:tcPr>
            <w:tcW w:w="2484" w:type="dxa"/>
            <w:vAlign w:val="center"/>
          </w:tcPr>
          <w:p w14:paraId="3741004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Smart meters/sensors</w:t>
            </w:r>
          </w:p>
        </w:tc>
        <w:tc>
          <w:tcPr>
            <w:tcW w:w="2484" w:type="dxa"/>
            <w:vAlign w:val="center"/>
          </w:tcPr>
          <w:p w14:paraId="53B430F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mMTC</w:t>
            </w:r>
          </w:p>
        </w:tc>
        <w:tc>
          <w:tcPr>
            <w:tcW w:w="2484" w:type="dxa"/>
            <w:vAlign w:val="center"/>
          </w:tcPr>
          <w:p w14:paraId="42C7E5D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Large device count, low data rate, long battery life</w:t>
            </w:r>
          </w:p>
        </w:tc>
        <w:tc>
          <w:tcPr>
            <w:tcW w:w="2484" w:type="dxa"/>
            <w:vAlign w:val="center"/>
          </w:tcPr>
          <w:p w14:paraId="09C8A4E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Coverage-focused low-band where suitable, device grouping and power-saving modes</w:t>
            </w:r>
          </w:p>
        </w:tc>
      </w:tr>
      <w:tr w:rsidR="00240BDD" w:rsidRPr="00C43864" w14:paraId="4CA62C21" w14:textId="77777777">
        <w:trPr>
          <w:jc w:val="center"/>
        </w:trPr>
        <w:tc>
          <w:tcPr>
            <w:tcW w:w="2484" w:type="dxa"/>
            <w:vAlign w:val="center"/>
          </w:tcPr>
          <w:p w14:paraId="4DBE6B7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Emergency/public safety</w:t>
            </w:r>
          </w:p>
        </w:tc>
        <w:tc>
          <w:tcPr>
            <w:tcW w:w="2484" w:type="dxa"/>
            <w:vAlign w:val="center"/>
          </w:tcPr>
          <w:p w14:paraId="1D2DDEB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Dedicated public-safety slice</w:t>
            </w:r>
          </w:p>
        </w:tc>
        <w:tc>
          <w:tcPr>
            <w:tcW w:w="2484" w:type="dxa"/>
            <w:vAlign w:val="center"/>
          </w:tcPr>
          <w:p w14:paraId="03C50F0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Priority access, resilience and coverage under overload</w:t>
            </w:r>
          </w:p>
        </w:tc>
        <w:tc>
          <w:tcPr>
            <w:tcW w:w="2484" w:type="dxa"/>
            <w:vAlign w:val="center"/>
          </w:tcPr>
          <w:p w14:paraId="39DF755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Pre-emption, reserved resources, backup power and multi-path backhaul</w:t>
            </w:r>
          </w:p>
        </w:tc>
      </w:tr>
    </w:tbl>
    <w:p w14:paraId="1DF7C26F" w14:textId="77777777" w:rsidR="00240BDD" w:rsidRPr="00C43864" w:rsidRDefault="00240BDD" w:rsidP="00C43864">
      <w:pPr>
        <w:spacing w:line="360" w:lineRule="auto"/>
        <w:rPr>
          <w:rFonts w:cs="Times New Roman"/>
          <w:sz w:val="24"/>
          <w:szCs w:val="24"/>
        </w:rPr>
      </w:pPr>
    </w:p>
    <w:p w14:paraId="44EAEB00"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2.3 Constraints and interactions</w:t>
      </w:r>
    </w:p>
    <w:p w14:paraId="03462E34"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Coverage versus capacity: low frequencies travel farther, while wider high-frequency channels can deliver more capacity over shorter distances.</w:t>
      </w:r>
    </w:p>
    <w:p w14:paraId="36673424"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Capacity versus cost: adding small cells raises throughput but increases site rental, power, fibre and maintenance costs.</w:t>
      </w:r>
    </w:p>
    <w:p w14:paraId="30482C36"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Reliability versus efficiency: redundant paths and reserve capacity improve resilience but may increase energy use and capital cost.</w:t>
      </w:r>
    </w:p>
    <w:p w14:paraId="5BD4EA02"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Latency versus centralization: centralized processing is efficient to manage, but local edge processing reduces transport delay for critical applications.</w:t>
      </w:r>
    </w:p>
    <w:p w14:paraId="12223921"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Reuse versus interference: tighter reuse improves spectrum efficiency but requires coordinated scheduling, power control and beam management.</w:t>
      </w:r>
    </w:p>
    <w:p w14:paraId="45F657C4"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lastRenderedPageBreak/>
        <w:t>Security versus complexity: slicing and virtualized functions improve service separation but expand the software and configuration attack surface.</w:t>
      </w:r>
    </w:p>
    <w:p w14:paraId="1691DD90"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2.4 Constrained optimization formulation</w:t>
      </w:r>
    </w:p>
    <w:p w14:paraId="74ED8B3E" w14:textId="77777777" w:rsidR="00240BDD" w:rsidRPr="00C43864" w:rsidRDefault="00000000" w:rsidP="00C43864">
      <w:pPr>
        <w:spacing w:line="360" w:lineRule="auto"/>
        <w:rPr>
          <w:rFonts w:cs="Times New Roman"/>
          <w:sz w:val="24"/>
          <w:szCs w:val="24"/>
        </w:rPr>
      </w:pPr>
      <w:r w:rsidRPr="00C43864">
        <w:rPr>
          <w:rFonts w:cs="Times New Roman"/>
          <w:sz w:val="24"/>
          <w:szCs w:val="24"/>
        </w:rPr>
        <w:t>The design can be formulated as a multi-objective constrained optimization problem. Let x represent site locations, cell types, band assignments, bandwidth, transmit power, slice reservations and edge locations. A conceptual objective is:</w:t>
      </w:r>
    </w:p>
    <w:p w14:paraId="5803B0A0" w14:textId="77777777" w:rsidR="00240BDD" w:rsidRPr="00C43864" w:rsidRDefault="00000000" w:rsidP="00C43864">
      <w:pPr>
        <w:spacing w:line="360" w:lineRule="auto"/>
        <w:rPr>
          <w:rFonts w:cs="Times New Roman"/>
          <w:sz w:val="24"/>
          <w:szCs w:val="24"/>
        </w:rPr>
      </w:pPr>
      <w:r w:rsidRPr="00C43864">
        <w:rPr>
          <w:rFonts w:cs="Times New Roman"/>
          <w:sz w:val="24"/>
          <w:szCs w:val="24"/>
        </w:rPr>
        <w:t>Minimize J(x) = w1·Cost + w2·Energy + w3·CoverageDeficit + w4·Congestion + w5·LatencyPenalty + w6·ReliabilityPenalty.</w:t>
      </w:r>
    </w:p>
    <w:p w14:paraId="209BC192" w14:textId="77777777" w:rsidR="00240BDD" w:rsidRPr="00C43864" w:rsidRDefault="00000000" w:rsidP="00C43864">
      <w:pPr>
        <w:spacing w:line="360" w:lineRule="auto"/>
        <w:rPr>
          <w:rFonts w:cs="Times New Roman"/>
          <w:sz w:val="24"/>
          <w:szCs w:val="24"/>
        </w:rPr>
      </w:pPr>
      <w:r w:rsidRPr="00C43864">
        <w:rPr>
          <w:rFonts w:cs="Times New Roman"/>
          <w:sz w:val="24"/>
          <w:szCs w:val="24"/>
        </w:rPr>
        <w:t>Subject to: populated-area coverage ≥95%; busy-hour blocking ≤2% for the modelled traffic group; critical-slice reliability target ≥99.99% in engineered zones; latency target ≤10 ms for selected local applications; spectrum assignments within licensed bands; site power and backhaul limits respected; and total cost within the approved budget. The weights w1–w6 must be set by the network owner according to policy and service priorities.</w:t>
      </w:r>
    </w:p>
    <w:p w14:paraId="125DB08B"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2.5 Design Decision 1</w:t>
      </w:r>
    </w:p>
    <w:p w14:paraId="2F4A884F" w14:textId="77777777" w:rsidR="00240BDD" w:rsidRPr="00C43864" w:rsidRDefault="00000000" w:rsidP="00C43864">
      <w:pPr>
        <w:spacing w:line="360" w:lineRule="auto"/>
        <w:rPr>
          <w:rFonts w:cs="Times New Roman"/>
          <w:sz w:val="24"/>
          <w:szCs w:val="24"/>
        </w:rPr>
      </w:pPr>
      <w:r w:rsidRPr="00C43864">
        <w:rPr>
          <w:rFonts w:cs="Times New Roman"/>
          <w:sz w:val="24"/>
          <w:szCs w:val="24"/>
        </w:rPr>
        <w:t>The first priority is dependable coverage for emergency communication and rural users, followed by sufficient busy-hour capacity in high-density urban and industrial zones. Critical latency and reliability requirements are handled through local edge processing, resource reservation and redundant paths. Cost is controlled by sharing towers and fibre where feasible rather than applying dense small-cell deployment everywhere.</w:t>
      </w:r>
    </w:p>
    <w:p w14:paraId="595C00EF"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3. Stage 2 – Spectrum, Radio Access and Cellular Planning</w:t>
      </w:r>
    </w:p>
    <w:p w14:paraId="399CC08B"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3.1 Cellular evolution from 1G to 6G</w:t>
      </w:r>
    </w:p>
    <w:tbl>
      <w:tblPr>
        <w:tblStyle w:val="TableGrid"/>
        <w:tblW w:w="0" w:type="auto"/>
        <w:jc w:val="center"/>
        <w:tblLook w:val="04A0" w:firstRow="1" w:lastRow="0" w:firstColumn="1" w:lastColumn="0" w:noHBand="0" w:noVBand="1"/>
      </w:tblPr>
      <w:tblGrid>
        <w:gridCol w:w="3307"/>
        <w:gridCol w:w="3310"/>
        <w:gridCol w:w="3309"/>
      </w:tblGrid>
      <w:tr w:rsidR="00240BDD" w:rsidRPr="00C43864" w14:paraId="5B9BB13B" w14:textId="77777777">
        <w:trPr>
          <w:jc w:val="center"/>
        </w:trPr>
        <w:tc>
          <w:tcPr>
            <w:tcW w:w="3312" w:type="dxa"/>
            <w:shd w:val="clear" w:color="auto" w:fill="D9EAF7"/>
            <w:vAlign w:val="center"/>
          </w:tcPr>
          <w:p w14:paraId="4D9367A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Generation</w:t>
            </w:r>
          </w:p>
        </w:tc>
        <w:tc>
          <w:tcPr>
            <w:tcW w:w="3312" w:type="dxa"/>
            <w:shd w:val="clear" w:color="auto" w:fill="D9EAF7"/>
            <w:vAlign w:val="center"/>
          </w:tcPr>
          <w:p w14:paraId="2AFCD66D"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Typical radio/channel approach</w:t>
            </w:r>
          </w:p>
        </w:tc>
        <w:tc>
          <w:tcPr>
            <w:tcW w:w="3312" w:type="dxa"/>
            <w:shd w:val="clear" w:color="auto" w:fill="D9EAF7"/>
            <w:vAlign w:val="center"/>
          </w:tcPr>
          <w:p w14:paraId="40BADC2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Spectrum utilization and limitations</w:t>
            </w:r>
          </w:p>
        </w:tc>
      </w:tr>
      <w:tr w:rsidR="00240BDD" w:rsidRPr="00C43864" w14:paraId="0EA4862E" w14:textId="77777777">
        <w:trPr>
          <w:jc w:val="center"/>
        </w:trPr>
        <w:tc>
          <w:tcPr>
            <w:tcW w:w="3312" w:type="dxa"/>
            <w:vAlign w:val="center"/>
          </w:tcPr>
          <w:p w14:paraId="7EEB1D1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1G</w:t>
            </w:r>
          </w:p>
        </w:tc>
        <w:tc>
          <w:tcPr>
            <w:tcW w:w="3312" w:type="dxa"/>
            <w:vAlign w:val="center"/>
          </w:tcPr>
          <w:p w14:paraId="1CC6FFF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Analogue FM voice; FDMA channels</w:t>
            </w:r>
          </w:p>
        </w:tc>
        <w:tc>
          <w:tcPr>
            <w:tcW w:w="3312" w:type="dxa"/>
            <w:vAlign w:val="center"/>
          </w:tcPr>
          <w:p w14:paraId="1955E0F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One user per assigned radio channel; low spectral efficiency, limited security and mostly circuit-switched voice.</w:t>
            </w:r>
          </w:p>
        </w:tc>
      </w:tr>
      <w:tr w:rsidR="00240BDD" w:rsidRPr="00C43864" w14:paraId="6B3F8573" w14:textId="77777777">
        <w:trPr>
          <w:jc w:val="center"/>
        </w:trPr>
        <w:tc>
          <w:tcPr>
            <w:tcW w:w="3312" w:type="dxa"/>
            <w:vAlign w:val="center"/>
          </w:tcPr>
          <w:p w14:paraId="58BC3E6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2G</w:t>
            </w:r>
          </w:p>
        </w:tc>
        <w:tc>
          <w:tcPr>
            <w:tcW w:w="3312" w:type="dxa"/>
            <w:vAlign w:val="center"/>
          </w:tcPr>
          <w:p w14:paraId="48B27E8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Digital GSM/IS-136; TDMA and/or FDMA; CDMA in some systems</w:t>
            </w:r>
          </w:p>
        </w:tc>
        <w:tc>
          <w:tcPr>
            <w:tcW w:w="3312" w:type="dxa"/>
            <w:vAlign w:val="center"/>
          </w:tcPr>
          <w:p w14:paraId="02AE13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Digital voice, SMS and improved capacity; time/frequency/code resources </w:t>
            </w:r>
            <w:r w:rsidRPr="00C43864">
              <w:rPr>
                <w:rFonts w:cs="Times New Roman"/>
                <w:sz w:val="24"/>
                <w:szCs w:val="24"/>
              </w:rPr>
              <w:lastRenderedPageBreak/>
              <w:t>shared by users.</w:t>
            </w:r>
          </w:p>
        </w:tc>
      </w:tr>
      <w:tr w:rsidR="00240BDD" w:rsidRPr="00C43864" w14:paraId="43205BA5" w14:textId="77777777">
        <w:trPr>
          <w:jc w:val="center"/>
        </w:trPr>
        <w:tc>
          <w:tcPr>
            <w:tcW w:w="3312" w:type="dxa"/>
            <w:vAlign w:val="center"/>
          </w:tcPr>
          <w:p w14:paraId="7EEF6D8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3G</w:t>
            </w:r>
          </w:p>
        </w:tc>
        <w:tc>
          <w:tcPr>
            <w:tcW w:w="3312" w:type="dxa"/>
            <w:vAlign w:val="center"/>
          </w:tcPr>
          <w:p w14:paraId="4249182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WCDMA/CDMA2000; spread-spectrum channels</w:t>
            </w:r>
          </w:p>
        </w:tc>
        <w:tc>
          <w:tcPr>
            <w:tcW w:w="3312" w:type="dxa"/>
            <w:vAlign w:val="center"/>
          </w:tcPr>
          <w:p w14:paraId="09314B3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Code-domain sharing and packet data; interference and power control are important.</w:t>
            </w:r>
          </w:p>
        </w:tc>
      </w:tr>
      <w:tr w:rsidR="00240BDD" w:rsidRPr="00C43864" w14:paraId="1D29319F" w14:textId="77777777">
        <w:trPr>
          <w:jc w:val="center"/>
        </w:trPr>
        <w:tc>
          <w:tcPr>
            <w:tcW w:w="3312" w:type="dxa"/>
            <w:vAlign w:val="center"/>
          </w:tcPr>
          <w:p w14:paraId="4B68A5C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4G</w:t>
            </w:r>
          </w:p>
        </w:tc>
        <w:tc>
          <w:tcPr>
            <w:tcW w:w="3312" w:type="dxa"/>
            <w:vAlign w:val="center"/>
          </w:tcPr>
          <w:p w14:paraId="08AC9F2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LTE; OFDMA downlink, SC-FDMA uplink in LTE baseline</w:t>
            </w:r>
          </w:p>
        </w:tc>
        <w:tc>
          <w:tcPr>
            <w:tcW w:w="3312" w:type="dxa"/>
            <w:vAlign w:val="center"/>
          </w:tcPr>
          <w:p w14:paraId="61628F8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Flexible resource blocks, packet core, higher data rates and efficient scheduling.</w:t>
            </w:r>
          </w:p>
        </w:tc>
      </w:tr>
      <w:tr w:rsidR="00240BDD" w:rsidRPr="00C43864" w14:paraId="7A3444BC" w14:textId="77777777">
        <w:trPr>
          <w:jc w:val="center"/>
        </w:trPr>
        <w:tc>
          <w:tcPr>
            <w:tcW w:w="3312" w:type="dxa"/>
            <w:vAlign w:val="center"/>
          </w:tcPr>
          <w:p w14:paraId="506152B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5G</w:t>
            </w:r>
          </w:p>
        </w:tc>
        <w:tc>
          <w:tcPr>
            <w:tcW w:w="3312" w:type="dxa"/>
            <w:vAlign w:val="center"/>
          </w:tcPr>
          <w:p w14:paraId="40AFFC6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NR; OFDM-based waveforms, flexible numerology, massive MIMO and beamforming</w:t>
            </w:r>
          </w:p>
        </w:tc>
        <w:tc>
          <w:tcPr>
            <w:tcW w:w="3312" w:type="dxa"/>
            <w:vAlign w:val="center"/>
          </w:tcPr>
          <w:p w14:paraId="3A7373F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Wide channel bandwidth options, slicing through 5G Core, edge integration and service-specific QoS.</w:t>
            </w:r>
          </w:p>
        </w:tc>
      </w:tr>
      <w:tr w:rsidR="00240BDD" w:rsidRPr="00C43864" w14:paraId="6F77D0D6" w14:textId="77777777">
        <w:trPr>
          <w:jc w:val="center"/>
        </w:trPr>
        <w:tc>
          <w:tcPr>
            <w:tcW w:w="3312" w:type="dxa"/>
            <w:vAlign w:val="center"/>
          </w:tcPr>
          <w:p w14:paraId="423DCC1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6G (future)</w:t>
            </w:r>
          </w:p>
        </w:tc>
        <w:tc>
          <w:tcPr>
            <w:tcW w:w="3312" w:type="dxa"/>
            <w:vAlign w:val="center"/>
          </w:tcPr>
          <w:p w14:paraId="57CC836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Expected AI-native networking, ISAC and potentially higher-frequency/THz systems</w:t>
            </w:r>
          </w:p>
        </w:tc>
        <w:tc>
          <w:tcPr>
            <w:tcW w:w="3312" w:type="dxa"/>
            <w:vAlign w:val="center"/>
          </w:tcPr>
          <w:p w14:paraId="5BDAAEF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Research and standardization continue; capabilities, bands and performance are not yet a universal commercial specification.</w:t>
            </w:r>
          </w:p>
        </w:tc>
      </w:tr>
    </w:tbl>
    <w:p w14:paraId="62939308" w14:textId="77777777" w:rsidR="00240BDD" w:rsidRPr="00C43864" w:rsidRDefault="00240BDD" w:rsidP="00C43864">
      <w:pPr>
        <w:spacing w:line="360" w:lineRule="auto"/>
        <w:rPr>
          <w:rFonts w:cs="Times New Roman"/>
          <w:sz w:val="24"/>
          <w:szCs w:val="24"/>
        </w:rPr>
      </w:pPr>
    </w:p>
    <w:p w14:paraId="527C8C52" w14:textId="77777777" w:rsidR="00240BDD" w:rsidRPr="00C43864" w:rsidRDefault="00000000" w:rsidP="00C43864">
      <w:pPr>
        <w:spacing w:line="360" w:lineRule="auto"/>
        <w:rPr>
          <w:rFonts w:cs="Times New Roman"/>
          <w:sz w:val="24"/>
          <w:szCs w:val="24"/>
        </w:rPr>
      </w:pPr>
      <w:r w:rsidRPr="00C43864">
        <w:rPr>
          <w:rFonts w:cs="Times New Roman"/>
          <w:sz w:val="24"/>
          <w:szCs w:val="24"/>
        </w:rPr>
        <w:t>Idealized channel-count calculations in this report ignore guard bands, duplexing separation, control/reference signals, pilot overhead, regulatory channel raster, coexistence constraints and implementation losses unless stated otherwise. Real deployable bandwidth is lower than nominal licensed bandwidth. FDD requires separate uplink/downlink spectrum, while TDD shares a carrier in time and must coordinate uplink/downlink patterns.</w:t>
      </w:r>
    </w:p>
    <w:p w14:paraId="0F200DA5"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3.2 Spectrum selection</w:t>
      </w:r>
    </w:p>
    <w:tbl>
      <w:tblPr>
        <w:tblStyle w:val="TableGrid"/>
        <w:tblW w:w="0" w:type="auto"/>
        <w:jc w:val="center"/>
        <w:tblLook w:val="04A0" w:firstRow="1" w:lastRow="0" w:firstColumn="1" w:lastColumn="0" w:noHBand="0" w:noVBand="1"/>
      </w:tblPr>
      <w:tblGrid>
        <w:gridCol w:w="2481"/>
        <w:gridCol w:w="2482"/>
        <w:gridCol w:w="2482"/>
        <w:gridCol w:w="2481"/>
      </w:tblGrid>
      <w:tr w:rsidR="00240BDD" w:rsidRPr="00C43864" w14:paraId="60D6B88F" w14:textId="77777777">
        <w:trPr>
          <w:jc w:val="center"/>
        </w:trPr>
        <w:tc>
          <w:tcPr>
            <w:tcW w:w="2484" w:type="dxa"/>
            <w:shd w:val="clear" w:color="auto" w:fill="D9EAF7"/>
            <w:vAlign w:val="center"/>
          </w:tcPr>
          <w:p w14:paraId="5BB81CF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Band range</w:t>
            </w:r>
          </w:p>
        </w:tc>
        <w:tc>
          <w:tcPr>
            <w:tcW w:w="2484" w:type="dxa"/>
            <w:shd w:val="clear" w:color="auto" w:fill="D9EAF7"/>
            <w:vAlign w:val="center"/>
          </w:tcPr>
          <w:p w14:paraId="413C78D7"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Propagation / bandwidth</w:t>
            </w:r>
          </w:p>
        </w:tc>
        <w:tc>
          <w:tcPr>
            <w:tcW w:w="2484" w:type="dxa"/>
            <w:shd w:val="clear" w:color="auto" w:fill="D9EAF7"/>
            <w:vAlign w:val="center"/>
          </w:tcPr>
          <w:p w14:paraId="47F497A9"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Best-fit deployment</w:t>
            </w:r>
          </w:p>
        </w:tc>
        <w:tc>
          <w:tcPr>
            <w:tcW w:w="2484" w:type="dxa"/>
            <w:shd w:val="clear" w:color="auto" w:fill="D9EAF7"/>
            <w:vAlign w:val="center"/>
          </w:tcPr>
          <w:p w14:paraId="0D6B1A25"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Limitations and cost</w:t>
            </w:r>
          </w:p>
        </w:tc>
      </w:tr>
      <w:tr w:rsidR="00240BDD" w:rsidRPr="00C43864" w14:paraId="7182FB04" w14:textId="77777777">
        <w:trPr>
          <w:jc w:val="center"/>
        </w:trPr>
        <w:tc>
          <w:tcPr>
            <w:tcW w:w="2484" w:type="dxa"/>
            <w:vAlign w:val="center"/>
          </w:tcPr>
          <w:p w14:paraId="28732BD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Sub-1 GHz</w:t>
            </w:r>
          </w:p>
        </w:tc>
        <w:tc>
          <w:tcPr>
            <w:tcW w:w="2484" w:type="dxa"/>
            <w:vAlign w:val="center"/>
          </w:tcPr>
          <w:p w14:paraId="6566253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Longer reach and generally better building penetration; often narrower bandwidth</w:t>
            </w:r>
          </w:p>
        </w:tc>
        <w:tc>
          <w:tcPr>
            <w:tcW w:w="2484" w:type="dxa"/>
            <w:vAlign w:val="center"/>
          </w:tcPr>
          <w:p w14:paraId="1AAF3CE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Rural coverage, highways, emergency communications, broad IoT reach</w:t>
            </w:r>
          </w:p>
        </w:tc>
        <w:tc>
          <w:tcPr>
            <w:tcW w:w="2484" w:type="dxa"/>
            <w:vAlign w:val="center"/>
          </w:tcPr>
          <w:p w14:paraId="4FBF1B3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Less peak capacity per carrier; coverage can still be limited by terrain and indoor losses</w:t>
            </w:r>
          </w:p>
        </w:tc>
      </w:tr>
      <w:tr w:rsidR="00240BDD" w:rsidRPr="00C43864" w14:paraId="08EAB30E" w14:textId="77777777">
        <w:trPr>
          <w:jc w:val="center"/>
        </w:trPr>
        <w:tc>
          <w:tcPr>
            <w:tcW w:w="2484" w:type="dxa"/>
            <w:vAlign w:val="center"/>
          </w:tcPr>
          <w:p w14:paraId="48E4CEF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Mid-band 1–6 GHz</w:t>
            </w:r>
          </w:p>
        </w:tc>
        <w:tc>
          <w:tcPr>
            <w:tcW w:w="2484" w:type="dxa"/>
            <w:vAlign w:val="center"/>
          </w:tcPr>
          <w:p w14:paraId="0CE41BE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Balanced coverage and capacity; commonly </w:t>
            </w:r>
            <w:r w:rsidRPr="00C43864">
              <w:rPr>
                <w:rFonts w:cs="Times New Roman"/>
                <w:sz w:val="24"/>
                <w:szCs w:val="24"/>
              </w:rPr>
              <w:lastRenderedPageBreak/>
              <w:t>used for 5G capacity layers</w:t>
            </w:r>
          </w:p>
        </w:tc>
        <w:tc>
          <w:tcPr>
            <w:tcW w:w="2484" w:type="dxa"/>
            <w:vAlign w:val="center"/>
          </w:tcPr>
          <w:p w14:paraId="260FBF7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Urban/suburban macro cells, towns, campuses, </w:t>
            </w:r>
            <w:r w:rsidRPr="00C43864">
              <w:rPr>
                <w:rFonts w:cs="Times New Roman"/>
                <w:sz w:val="24"/>
                <w:szCs w:val="24"/>
              </w:rPr>
              <w:lastRenderedPageBreak/>
              <w:t>factories and transport hubs</w:t>
            </w:r>
          </w:p>
        </w:tc>
        <w:tc>
          <w:tcPr>
            <w:tcW w:w="2484" w:type="dxa"/>
            <w:vAlign w:val="center"/>
          </w:tcPr>
          <w:p w14:paraId="453121C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More sites than low-band for equivalent </w:t>
            </w:r>
            <w:r w:rsidRPr="00C43864">
              <w:rPr>
                <w:rFonts w:cs="Times New Roman"/>
                <w:sz w:val="24"/>
                <w:szCs w:val="24"/>
              </w:rPr>
              <w:lastRenderedPageBreak/>
              <w:t>coverage; performance depends on bandwidth and clutter</w:t>
            </w:r>
          </w:p>
        </w:tc>
      </w:tr>
      <w:tr w:rsidR="00240BDD" w:rsidRPr="00C43864" w14:paraId="7EAEEC4E" w14:textId="77777777">
        <w:trPr>
          <w:jc w:val="center"/>
        </w:trPr>
        <w:tc>
          <w:tcPr>
            <w:tcW w:w="2484" w:type="dxa"/>
            <w:vAlign w:val="center"/>
          </w:tcPr>
          <w:p w14:paraId="2EE3E40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mmWave &gt;24 GHz</w:t>
            </w:r>
          </w:p>
        </w:tc>
        <w:tc>
          <w:tcPr>
            <w:tcW w:w="2484" w:type="dxa"/>
            <w:vAlign w:val="center"/>
          </w:tcPr>
          <w:p w14:paraId="77B0708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Very wide channels possible; higher propagation loss and blockage sensitivity</w:t>
            </w:r>
          </w:p>
        </w:tc>
        <w:tc>
          <w:tcPr>
            <w:tcW w:w="2484" w:type="dxa"/>
            <w:vAlign w:val="center"/>
          </w:tcPr>
          <w:p w14:paraId="46D9F8E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Dense hotspots, stadiums, fixed high-throughput links and selected industrial areas</w:t>
            </w:r>
          </w:p>
        </w:tc>
        <w:tc>
          <w:tcPr>
            <w:tcW w:w="2484" w:type="dxa"/>
            <w:vAlign w:val="center"/>
          </w:tcPr>
          <w:p w14:paraId="332DCA1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Shorter practical range; more small cells, alignment and backhaul needed</w:t>
            </w:r>
          </w:p>
        </w:tc>
      </w:tr>
    </w:tbl>
    <w:p w14:paraId="17AC7AA1" w14:textId="77777777" w:rsidR="00240BDD" w:rsidRPr="00C43864" w:rsidRDefault="00240BDD" w:rsidP="00C43864">
      <w:pPr>
        <w:spacing w:line="360" w:lineRule="auto"/>
        <w:rPr>
          <w:rFonts w:cs="Times New Roman"/>
          <w:sz w:val="24"/>
          <w:szCs w:val="24"/>
        </w:rPr>
      </w:pPr>
    </w:p>
    <w:p w14:paraId="4EE92391"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3.3 State-wise spectrum and radio-access planning</w:t>
      </w:r>
    </w:p>
    <w:tbl>
      <w:tblPr>
        <w:tblStyle w:val="TableGrid"/>
        <w:tblW w:w="0" w:type="auto"/>
        <w:jc w:val="center"/>
        <w:tblLook w:val="04A0" w:firstRow="1" w:lastRow="0" w:firstColumn="1" w:lastColumn="0" w:noHBand="0" w:noVBand="1"/>
      </w:tblPr>
      <w:tblGrid>
        <w:gridCol w:w="1985"/>
        <w:gridCol w:w="1985"/>
        <w:gridCol w:w="1985"/>
        <w:gridCol w:w="1985"/>
        <w:gridCol w:w="1986"/>
      </w:tblGrid>
      <w:tr w:rsidR="00240BDD" w:rsidRPr="00C43864" w14:paraId="7A2E484B" w14:textId="77777777">
        <w:trPr>
          <w:jc w:val="center"/>
        </w:trPr>
        <w:tc>
          <w:tcPr>
            <w:tcW w:w="1987" w:type="dxa"/>
            <w:shd w:val="clear" w:color="auto" w:fill="D9EAF7"/>
            <w:vAlign w:val="center"/>
          </w:tcPr>
          <w:p w14:paraId="61064A8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State</w:t>
            </w:r>
          </w:p>
        </w:tc>
        <w:tc>
          <w:tcPr>
            <w:tcW w:w="1987" w:type="dxa"/>
            <w:shd w:val="clear" w:color="auto" w:fill="D9EAF7"/>
            <w:vAlign w:val="center"/>
          </w:tcPr>
          <w:p w14:paraId="49667A4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Low-band layer</w:t>
            </w:r>
          </w:p>
        </w:tc>
        <w:tc>
          <w:tcPr>
            <w:tcW w:w="1987" w:type="dxa"/>
            <w:shd w:val="clear" w:color="auto" w:fill="D9EAF7"/>
            <w:vAlign w:val="center"/>
          </w:tcPr>
          <w:p w14:paraId="7B6EEAEF"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Mid-band layer</w:t>
            </w:r>
          </w:p>
        </w:tc>
        <w:tc>
          <w:tcPr>
            <w:tcW w:w="1987" w:type="dxa"/>
            <w:shd w:val="clear" w:color="auto" w:fill="D9EAF7"/>
            <w:vAlign w:val="center"/>
          </w:tcPr>
          <w:p w14:paraId="6937C28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mmWave / small-cell use</w:t>
            </w:r>
          </w:p>
        </w:tc>
        <w:tc>
          <w:tcPr>
            <w:tcW w:w="1987" w:type="dxa"/>
            <w:shd w:val="clear" w:color="auto" w:fill="D9EAF7"/>
            <w:vAlign w:val="center"/>
          </w:tcPr>
          <w:p w14:paraId="1B2F21B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Backhaul and edge</w:t>
            </w:r>
          </w:p>
        </w:tc>
      </w:tr>
      <w:tr w:rsidR="00240BDD" w:rsidRPr="00C43864" w14:paraId="4C7E6CBF" w14:textId="77777777">
        <w:trPr>
          <w:jc w:val="center"/>
        </w:trPr>
        <w:tc>
          <w:tcPr>
            <w:tcW w:w="1987" w:type="dxa"/>
            <w:vAlign w:val="center"/>
          </w:tcPr>
          <w:p w14:paraId="5C98500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Tamil Nadu</w:t>
            </w:r>
          </w:p>
        </w:tc>
        <w:tc>
          <w:tcPr>
            <w:tcW w:w="1987" w:type="dxa"/>
            <w:vAlign w:val="center"/>
          </w:tcPr>
          <w:p w14:paraId="5A42A38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Rural districts, highways, emergency reach</w:t>
            </w:r>
          </w:p>
        </w:tc>
        <w:tc>
          <w:tcPr>
            <w:tcW w:w="1987" w:type="dxa"/>
            <w:vAlign w:val="center"/>
          </w:tcPr>
          <w:p w14:paraId="4987AE4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Cities, campuses, ports, industrial corridors</w:t>
            </w:r>
          </w:p>
        </w:tc>
        <w:tc>
          <w:tcPr>
            <w:tcW w:w="1987" w:type="dxa"/>
            <w:vAlign w:val="center"/>
          </w:tcPr>
          <w:p w14:paraId="7536DEB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Chennai CBD, major venues and dense factory zones</w:t>
            </w:r>
          </w:p>
        </w:tc>
        <w:tc>
          <w:tcPr>
            <w:tcW w:w="1987" w:type="dxa"/>
            <w:vAlign w:val="center"/>
          </w:tcPr>
          <w:p w14:paraId="550C1B4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Fibre rings in cities/industry; edge at transport and industrial hubs</w:t>
            </w:r>
          </w:p>
        </w:tc>
      </w:tr>
      <w:tr w:rsidR="00240BDD" w:rsidRPr="00C43864" w14:paraId="647C568C" w14:textId="77777777">
        <w:trPr>
          <w:jc w:val="center"/>
        </w:trPr>
        <w:tc>
          <w:tcPr>
            <w:tcW w:w="1987" w:type="dxa"/>
            <w:vAlign w:val="center"/>
          </w:tcPr>
          <w:p w14:paraId="291EB6F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Karnataka</w:t>
            </w:r>
          </w:p>
        </w:tc>
        <w:tc>
          <w:tcPr>
            <w:tcW w:w="1987" w:type="dxa"/>
            <w:vAlign w:val="center"/>
          </w:tcPr>
          <w:p w14:paraId="1A5D60C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Rural coverage and highway continuity</w:t>
            </w:r>
          </w:p>
        </w:tc>
        <w:tc>
          <w:tcPr>
            <w:tcW w:w="1987" w:type="dxa"/>
            <w:vAlign w:val="center"/>
          </w:tcPr>
          <w:p w14:paraId="0B562CE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Bengaluru and Mysuru capacity</w:t>
            </w:r>
          </w:p>
        </w:tc>
        <w:tc>
          <w:tcPr>
            <w:tcW w:w="1987" w:type="dxa"/>
            <w:vAlign w:val="center"/>
          </w:tcPr>
          <w:p w14:paraId="04054A6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High-traffic technology districts and venues</w:t>
            </w:r>
          </w:p>
        </w:tc>
        <w:tc>
          <w:tcPr>
            <w:tcW w:w="1987" w:type="dxa"/>
            <w:vAlign w:val="center"/>
          </w:tcPr>
          <w:p w14:paraId="5A03F28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Metro edge clusters; diverse fibre routes</w:t>
            </w:r>
          </w:p>
        </w:tc>
      </w:tr>
      <w:tr w:rsidR="00240BDD" w:rsidRPr="00C43864" w14:paraId="4349A0E7" w14:textId="77777777">
        <w:trPr>
          <w:jc w:val="center"/>
        </w:trPr>
        <w:tc>
          <w:tcPr>
            <w:tcW w:w="1987" w:type="dxa"/>
            <w:vAlign w:val="center"/>
          </w:tcPr>
          <w:p w14:paraId="11111E7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Kerala</w:t>
            </w:r>
          </w:p>
        </w:tc>
        <w:tc>
          <w:tcPr>
            <w:tcW w:w="1987" w:type="dxa"/>
            <w:vAlign w:val="center"/>
          </w:tcPr>
          <w:p w14:paraId="58CA7A6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Coastal/hilly road reach and disaster resilience</w:t>
            </w:r>
          </w:p>
        </w:tc>
        <w:tc>
          <w:tcPr>
            <w:tcW w:w="1987" w:type="dxa"/>
            <w:vAlign w:val="center"/>
          </w:tcPr>
          <w:p w14:paraId="6AC6534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Towns, tourism and city capacity</w:t>
            </w:r>
          </w:p>
        </w:tc>
        <w:tc>
          <w:tcPr>
            <w:tcW w:w="1987" w:type="dxa"/>
            <w:vAlign w:val="center"/>
          </w:tcPr>
          <w:p w14:paraId="5574A0E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Selective dense venues, not blanket rural use</w:t>
            </w:r>
          </w:p>
        </w:tc>
        <w:tc>
          <w:tcPr>
            <w:tcW w:w="1987" w:type="dxa"/>
            <w:vAlign w:val="center"/>
          </w:tcPr>
          <w:p w14:paraId="764EACD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Resilient backhaul with microwave backup where fibre is unavailable</w:t>
            </w:r>
          </w:p>
        </w:tc>
      </w:tr>
      <w:tr w:rsidR="00240BDD" w:rsidRPr="00C43864" w14:paraId="422B0C5D" w14:textId="77777777">
        <w:trPr>
          <w:jc w:val="center"/>
        </w:trPr>
        <w:tc>
          <w:tcPr>
            <w:tcW w:w="1987" w:type="dxa"/>
            <w:vAlign w:val="center"/>
          </w:tcPr>
          <w:p w14:paraId="7AAE8DD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Maharashtra</w:t>
            </w:r>
          </w:p>
        </w:tc>
        <w:tc>
          <w:tcPr>
            <w:tcW w:w="1987" w:type="dxa"/>
            <w:vAlign w:val="center"/>
          </w:tcPr>
          <w:p w14:paraId="1585503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Rural and highway coverage</w:t>
            </w:r>
          </w:p>
        </w:tc>
        <w:tc>
          <w:tcPr>
            <w:tcW w:w="1987" w:type="dxa"/>
            <w:vAlign w:val="center"/>
          </w:tcPr>
          <w:p w14:paraId="366354C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Mumbai, Pune, Nagpur and industrial areas</w:t>
            </w:r>
          </w:p>
        </w:tc>
        <w:tc>
          <w:tcPr>
            <w:tcW w:w="1987" w:type="dxa"/>
            <w:vAlign w:val="center"/>
          </w:tcPr>
          <w:p w14:paraId="1BB8275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Dense urban hotspots, stations and event venues</w:t>
            </w:r>
          </w:p>
        </w:tc>
        <w:tc>
          <w:tcPr>
            <w:tcW w:w="1987" w:type="dxa"/>
            <w:vAlign w:val="center"/>
          </w:tcPr>
          <w:p w14:paraId="02CB092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Metro edge and redundant fibre for critical sites</w:t>
            </w:r>
          </w:p>
        </w:tc>
      </w:tr>
      <w:tr w:rsidR="00240BDD" w:rsidRPr="00C43864" w14:paraId="6FBCF9BD" w14:textId="77777777">
        <w:trPr>
          <w:jc w:val="center"/>
        </w:trPr>
        <w:tc>
          <w:tcPr>
            <w:tcW w:w="1987" w:type="dxa"/>
            <w:vAlign w:val="center"/>
          </w:tcPr>
          <w:p w14:paraId="0886148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Gujarat</w:t>
            </w:r>
          </w:p>
        </w:tc>
        <w:tc>
          <w:tcPr>
            <w:tcW w:w="1987" w:type="dxa"/>
            <w:vAlign w:val="center"/>
          </w:tcPr>
          <w:p w14:paraId="1ACEF14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Wide-area and semi-rural reach</w:t>
            </w:r>
          </w:p>
        </w:tc>
        <w:tc>
          <w:tcPr>
            <w:tcW w:w="1987" w:type="dxa"/>
            <w:vAlign w:val="center"/>
          </w:tcPr>
          <w:p w14:paraId="100B60B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Ahmedabad, Surat, ports and </w:t>
            </w:r>
            <w:r w:rsidRPr="00C43864">
              <w:rPr>
                <w:rFonts w:cs="Times New Roman"/>
                <w:sz w:val="24"/>
                <w:szCs w:val="24"/>
              </w:rPr>
              <w:lastRenderedPageBreak/>
              <w:t>factories</w:t>
            </w:r>
          </w:p>
        </w:tc>
        <w:tc>
          <w:tcPr>
            <w:tcW w:w="1987" w:type="dxa"/>
            <w:vAlign w:val="center"/>
          </w:tcPr>
          <w:p w14:paraId="1F8A85E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Selected industrial </w:t>
            </w:r>
            <w:r w:rsidRPr="00C43864">
              <w:rPr>
                <w:rFonts w:cs="Times New Roman"/>
                <w:sz w:val="24"/>
                <w:szCs w:val="24"/>
              </w:rPr>
              <w:lastRenderedPageBreak/>
              <w:t>campuses and dense venues</w:t>
            </w:r>
          </w:p>
        </w:tc>
        <w:tc>
          <w:tcPr>
            <w:tcW w:w="1987" w:type="dxa"/>
            <w:vAlign w:val="center"/>
          </w:tcPr>
          <w:p w14:paraId="2040C47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Local industrial edge; </w:t>
            </w:r>
            <w:r w:rsidRPr="00C43864">
              <w:rPr>
                <w:rFonts w:cs="Times New Roman"/>
                <w:sz w:val="24"/>
                <w:szCs w:val="24"/>
              </w:rPr>
              <w:lastRenderedPageBreak/>
              <w:t>fibre/microwave redundancy</w:t>
            </w:r>
          </w:p>
        </w:tc>
      </w:tr>
      <w:tr w:rsidR="00240BDD" w:rsidRPr="00C43864" w14:paraId="03CD7407" w14:textId="77777777">
        <w:trPr>
          <w:jc w:val="center"/>
        </w:trPr>
        <w:tc>
          <w:tcPr>
            <w:tcW w:w="1987" w:type="dxa"/>
            <w:vAlign w:val="center"/>
          </w:tcPr>
          <w:p w14:paraId="3FC5CDE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Uttar Pradesh</w:t>
            </w:r>
          </w:p>
        </w:tc>
        <w:tc>
          <w:tcPr>
            <w:tcW w:w="1987" w:type="dxa"/>
            <w:vAlign w:val="center"/>
          </w:tcPr>
          <w:p w14:paraId="227A107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Primary broad-coverage layer</w:t>
            </w:r>
          </w:p>
        </w:tc>
        <w:tc>
          <w:tcPr>
            <w:tcW w:w="1987" w:type="dxa"/>
            <w:vAlign w:val="center"/>
          </w:tcPr>
          <w:p w14:paraId="3FD7238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Cities, towns, campuses and high-demand corridors</w:t>
            </w:r>
          </w:p>
        </w:tc>
        <w:tc>
          <w:tcPr>
            <w:tcW w:w="1987" w:type="dxa"/>
            <w:vAlign w:val="center"/>
          </w:tcPr>
          <w:p w14:paraId="3B7B2B5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Selective dense city hotspots only</w:t>
            </w:r>
          </w:p>
        </w:tc>
        <w:tc>
          <w:tcPr>
            <w:tcW w:w="1987" w:type="dxa"/>
            <w:vAlign w:val="center"/>
          </w:tcPr>
          <w:p w14:paraId="7F3A8A0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Regional edge hubs plus district aggregation</w:t>
            </w:r>
          </w:p>
        </w:tc>
      </w:tr>
    </w:tbl>
    <w:p w14:paraId="7BE8E969" w14:textId="77777777" w:rsidR="00240BDD" w:rsidRPr="00C43864" w:rsidRDefault="00240BDD" w:rsidP="00C43864">
      <w:pPr>
        <w:spacing w:line="360" w:lineRule="auto"/>
        <w:rPr>
          <w:rFonts w:cs="Times New Roman"/>
          <w:sz w:val="24"/>
          <w:szCs w:val="24"/>
        </w:rPr>
      </w:pPr>
    </w:p>
    <w:p w14:paraId="314F5C2E"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3.4 Cell types and placement</w:t>
      </w:r>
    </w:p>
    <w:tbl>
      <w:tblPr>
        <w:tblStyle w:val="TableGrid"/>
        <w:tblW w:w="0" w:type="auto"/>
        <w:jc w:val="center"/>
        <w:tblLook w:val="04A0" w:firstRow="1" w:lastRow="0" w:firstColumn="1" w:lastColumn="0" w:noHBand="0" w:noVBand="1"/>
      </w:tblPr>
      <w:tblGrid>
        <w:gridCol w:w="2481"/>
        <w:gridCol w:w="2481"/>
        <w:gridCol w:w="2482"/>
        <w:gridCol w:w="2482"/>
      </w:tblGrid>
      <w:tr w:rsidR="00240BDD" w:rsidRPr="00C43864" w14:paraId="1C861698" w14:textId="77777777">
        <w:trPr>
          <w:jc w:val="center"/>
        </w:trPr>
        <w:tc>
          <w:tcPr>
            <w:tcW w:w="2484" w:type="dxa"/>
            <w:shd w:val="clear" w:color="auto" w:fill="D9EAF7"/>
            <w:vAlign w:val="center"/>
          </w:tcPr>
          <w:p w14:paraId="4C900E14"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Cell type</w:t>
            </w:r>
          </w:p>
        </w:tc>
        <w:tc>
          <w:tcPr>
            <w:tcW w:w="2484" w:type="dxa"/>
            <w:shd w:val="clear" w:color="auto" w:fill="D9EAF7"/>
            <w:vAlign w:val="center"/>
          </w:tcPr>
          <w:p w14:paraId="4D78E60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Typical planning role</w:t>
            </w:r>
          </w:p>
        </w:tc>
        <w:tc>
          <w:tcPr>
            <w:tcW w:w="2484" w:type="dxa"/>
            <w:shd w:val="clear" w:color="auto" w:fill="D9EAF7"/>
            <w:vAlign w:val="center"/>
          </w:tcPr>
          <w:p w14:paraId="321DE02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Illustrative radius (not a fixed standard)</w:t>
            </w:r>
          </w:p>
        </w:tc>
        <w:tc>
          <w:tcPr>
            <w:tcW w:w="2484" w:type="dxa"/>
            <w:shd w:val="clear" w:color="auto" w:fill="D9EAF7"/>
            <w:vAlign w:val="center"/>
          </w:tcPr>
          <w:p w14:paraId="3F2C2B4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Placement principle</w:t>
            </w:r>
          </w:p>
        </w:tc>
      </w:tr>
      <w:tr w:rsidR="00240BDD" w:rsidRPr="00C43864" w14:paraId="12524EDF" w14:textId="77777777">
        <w:trPr>
          <w:jc w:val="center"/>
        </w:trPr>
        <w:tc>
          <w:tcPr>
            <w:tcW w:w="2484" w:type="dxa"/>
            <w:vAlign w:val="center"/>
          </w:tcPr>
          <w:p w14:paraId="5F1D951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Macro cell</w:t>
            </w:r>
          </w:p>
        </w:tc>
        <w:tc>
          <w:tcPr>
            <w:tcW w:w="2484" w:type="dxa"/>
            <w:vAlign w:val="center"/>
          </w:tcPr>
          <w:p w14:paraId="0CED855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Broad outdoor coverage and mobility anchor</w:t>
            </w:r>
          </w:p>
        </w:tc>
        <w:tc>
          <w:tcPr>
            <w:tcW w:w="2484" w:type="dxa"/>
            <w:vAlign w:val="center"/>
          </w:tcPr>
          <w:p w14:paraId="0F207F3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1–10 km depending on band, clutter and terrain</w:t>
            </w:r>
          </w:p>
        </w:tc>
        <w:tc>
          <w:tcPr>
            <w:tcW w:w="2484" w:type="dxa"/>
            <w:vAlign w:val="center"/>
          </w:tcPr>
          <w:p w14:paraId="6CBC63E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Elevated sites, roads, rural villages and wide-area coverage</w:t>
            </w:r>
          </w:p>
        </w:tc>
      </w:tr>
      <w:tr w:rsidR="00240BDD" w:rsidRPr="00C43864" w14:paraId="76882E49" w14:textId="77777777">
        <w:trPr>
          <w:jc w:val="center"/>
        </w:trPr>
        <w:tc>
          <w:tcPr>
            <w:tcW w:w="2484" w:type="dxa"/>
            <w:vAlign w:val="center"/>
          </w:tcPr>
          <w:p w14:paraId="7AA8777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Micro cell</w:t>
            </w:r>
          </w:p>
        </w:tc>
        <w:tc>
          <w:tcPr>
            <w:tcW w:w="2484" w:type="dxa"/>
            <w:vAlign w:val="center"/>
          </w:tcPr>
          <w:p w14:paraId="2BFCABE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Street-level urban capacity</w:t>
            </w:r>
          </w:p>
        </w:tc>
        <w:tc>
          <w:tcPr>
            <w:tcW w:w="2484" w:type="dxa"/>
            <w:vAlign w:val="center"/>
          </w:tcPr>
          <w:p w14:paraId="175BD7C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0.2–1 km</w:t>
            </w:r>
          </w:p>
        </w:tc>
        <w:tc>
          <w:tcPr>
            <w:tcW w:w="2484" w:type="dxa"/>
            <w:vAlign w:val="center"/>
          </w:tcPr>
          <w:p w14:paraId="397271E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Street canyons, business districts and transport nodes</w:t>
            </w:r>
          </w:p>
        </w:tc>
      </w:tr>
      <w:tr w:rsidR="00240BDD" w:rsidRPr="00C43864" w14:paraId="7C257A63" w14:textId="77777777">
        <w:trPr>
          <w:jc w:val="center"/>
        </w:trPr>
        <w:tc>
          <w:tcPr>
            <w:tcW w:w="2484" w:type="dxa"/>
            <w:vAlign w:val="center"/>
          </w:tcPr>
          <w:p w14:paraId="6164AD6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Pico/small cell</w:t>
            </w:r>
          </w:p>
        </w:tc>
        <w:tc>
          <w:tcPr>
            <w:tcW w:w="2484" w:type="dxa"/>
            <w:vAlign w:val="center"/>
          </w:tcPr>
          <w:p w14:paraId="6E5CAD5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Indoor and local hotspot capacity</w:t>
            </w:r>
          </w:p>
        </w:tc>
        <w:tc>
          <w:tcPr>
            <w:tcW w:w="2484" w:type="dxa"/>
            <w:vAlign w:val="center"/>
          </w:tcPr>
          <w:p w14:paraId="7473D96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10–200 m</w:t>
            </w:r>
          </w:p>
        </w:tc>
        <w:tc>
          <w:tcPr>
            <w:tcW w:w="2484" w:type="dxa"/>
            <w:vAlign w:val="center"/>
          </w:tcPr>
          <w:p w14:paraId="1B67E76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Malls, campuses, hospitals, stations and offices</w:t>
            </w:r>
          </w:p>
        </w:tc>
      </w:tr>
      <w:tr w:rsidR="00240BDD" w:rsidRPr="00C43864" w14:paraId="21870EF1" w14:textId="77777777">
        <w:trPr>
          <w:jc w:val="center"/>
        </w:trPr>
        <w:tc>
          <w:tcPr>
            <w:tcW w:w="2484" w:type="dxa"/>
            <w:vAlign w:val="center"/>
          </w:tcPr>
          <w:p w14:paraId="44D5209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mmWave small cell</w:t>
            </w:r>
          </w:p>
        </w:tc>
        <w:tc>
          <w:tcPr>
            <w:tcW w:w="2484" w:type="dxa"/>
            <w:vAlign w:val="center"/>
          </w:tcPr>
          <w:p w14:paraId="3F50788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Very high local capacity</w:t>
            </w:r>
          </w:p>
        </w:tc>
        <w:tc>
          <w:tcPr>
            <w:tcW w:w="2484" w:type="dxa"/>
            <w:vAlign w:val="center"/>
          </w:tcPr>
          <w:p w14:paraId="0D2BCE6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Tens to a few hundred metres, depending on blockage and link budget</w:t>
            </w:r>
          </w:p>
        </w:tc>
        <w:tc>
          <w:tcPr>
            <w:tcW w:w="2484" w:type="dxa"/>
            <w:vAlign w:val="center"/>
          </w:tcPr>
          <w:p w14:paraId="649ACBB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Dense hotspots with line-of-sight/beam planning and fibre-rich backhaul</w:t>
            </w:r>
          </w:p>
        </w:tc>
      </w:tr>
    </w:tbl>
    <w:p w14:paraId="55550200" w14:textId="77777777" w:rsidR="00240BDD" w:rsidRPr="00C43864" w:rsidRDefault="00240BDD" w:rsidP="00C43864">
      <w:pPr>
        <w:spacing w:line="360" w:lineRule="auto"/>
        <w:rPr>
          <w:rFonts w:cs="Times New Roman"/>
          <w:sz w:val="24"/>
          <w:szCs w:val="24"/>
        </w:rPr>
      </w:pPr>
    </w:p>
    <w:p w14:paraId="393A9AA9"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3.5 Radio techniques and interference</w:t>
      </w:r>
    </w:p>
    <w:p w14:paraId="184C0503"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OFDMA allocates orthogonal time-frequency resource blocks to users, enabling flexible scheduling and service differentiation.</w:t>
      </w:r>
    </w:p>
    <w:p w14:paraId="3768FFBC"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Massive MIMO uses many antenna elements to serve multiple users and improve spatial reuse, subject to channel conditions and hardware calibration.</w:t>
      </w:r>
    </w:p>
    <w:p w14:paraId="52279940"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Beamforming concentrates energy toward a user, improving link budget and reducing some unwanted radiation, but beams can still interfere.</w:t>
      </w:r>
    </w:p>
    <w:p w14:paraId="542F10CE"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lastRenderedPageBreak/>
        <w:t>Frequency reuse allows the same carrier to be used in separated cells. Modern LTE/NR networks commonly use reuse-one planning with interference coordination rather than rigid reuse clusters everywhere.</w:t>
      </w:r>
    </w:p>
    <w:p w14:paraId="2CA47F8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Cell splitting increases capacity by introducing smaller cells in busy locations; it also increases handovers, site cost and interference-management workload.</w:t>
      </w:r>
    </w:p>
    <w:p w14:paraId="3DBD764C"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Sectoring uses directional antennas to divide a site into sectors. It can improve spatial isolation and capacity but adds radio equipment and planning complexity.</w:t>
      </w:r>
    </w:p>
    <w:p w14:paraId="28701F0C" w14:textId="77777777" w:rsidR="00240BDD" w:rsidRPr="00C43864" w:rsidRDefault="00000000" w:rsidP="00C43864">
      <w:pPr>
        <w:spacing w:line="360" w:lineRule="auto"/>
        <w:rPr>
          <w:rFonts w:cs="Times New Roman"/>
          <w:sz w:val="24"/>
          <w:szCs w:val="24"/>
        </w:rPr>
      </w:pPr>
      <w:r w:rsidRPr="00C43864">
        <w:rPr>
          <w:rFonts w:cs="Times New Roman"/>
          <w:sz w:val="24"/>
          <w:szCs w:val="24"/>
        </w:rPr>
        <w:t>Co-channel interference is reduced through beam management, power control, scheduler coordination, inter-cell interference coordination, careful site geometry and load balancing. Adjacent-channel interference is managed through compliant filters, adequate guard bands where required, transmitter/receiver performance, spectrum coordination and avoiding incompatible neighbouring assignments.</w:t>
      </w:r>
    </w:p>
    <w:p w14:paraId="7063D63D"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3.6 Illustrative cell-count estimate</w:t>
      </w:r>
    </w:p>
    <w:p w14:paraId="411EDBEB" w14:textId="77777777" w:rsidR="00240BDD" w:rsidRPr="00C43864" w:rsidRDefault="00000000" w:rsidP="00C43864">
      <w:pPr>
        <w:spacing w:line="360" w:lineRule="auto"/>
        <w:rPr>
          <w:rFonts w:cs="Times New Roman"/>
          <w:sz w:val="24"/>
          <w:szCs w:val="24"/>
        </w:rPr>
      </w:pPr>
      <w:r w:rsidRPr="00C43864">
        <w:rPr>
          <w:rFonts w:cs="Times New Roman"/>
          <w:sz w:val="24"/>
          <w:szCs w:val="24"/>
        </w:rPr>
        <w:t>For a first-pass geometric estimate, the area of a regular hexagonal cell is A_cell = (3√3/</w:t>
      </w:r>
      <w:proofErr w:type="gramStart"/>
      <w:r w:rsidRPr="00C43864">
        <w:rPr>
          <w:rFonts w:cs="Times New Roman"/>
          <w:sz w:val="24"/>
          <w:szCs w:val="24"/>
        </w:rPr>
        <w:t>2)R</w:t>
      </w:r>
      <w:proofErr w:type="gramEnd"/>
      <w:r w:rsidRPr="00C43864">
        <w:rPr>
          <w:rFonts w:cs="Times New Roman"/>
          <w:sz w:val="24"/>
          <w:szCs w:val="24"/>
        </w:rPr>
        <w:t>² ≈ 2.598R². This is an idealized coverage approximation; actual sites overlap and the state boundaries, terrain and nonuniform population change the result.</w:t>
      </w:r>
    </w:p>
    <w:tbl>
      <w:tblPr>
        <w:tblStyle w:val="TableGrid"/>
        <w:tblW w:w="0" w:type="auto"/>
        <w:jc w:val="center"/>
        <w:tblLook w:val="04A0" w:firstRow="1" w:lastRow="0" w:firstColumn="1" w:lastColumn="0" w:noHBand="0" w:noVBand="1"/>
      </w:tblPr>
      <w:tblGrid>
        <w:gridCol w:w="2482"/>
        <w:gridCol w:w="2481"/>
        <w:gridCol w:w="2480"/>
        <w:gridCol w:w="2483"/>
      </w:tblGrid>
      <w:tr w:rsidR="00240BDD" w:rsidRPr="00C43864" w14:paraId="01AF0E78" w14:textId="77777777">
        <w:trPr>
          <w:jc w:val="center"/>
        </w:trPr>
        <w:tc>
          <w:tcPr>
            <w:tcW w:w="2484" w:type="dxa"/>
            <w:shd w:val="clear" w:color="auto" w:fill="D9EAF7"/>
            <w:vAlign w:val="center"/>
          </w:tcPr>
          <w:p w14:paraId="57E7A6A7"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Illustrative environment</w:t>
            </w:r>
          </w:p>
        </w:tc>
        <w:tc>
          <w:tcPr>
            <w:tcW w:w="2484" w:type="dxa"/>
            <w:shd w:val="clear" w:color="auto" w:fill="D9EAF7"/>
            <w:vAlign w:val="center"/>
          </w:tcPr>
          <w:p w14:paraId="6CF13E2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Assumed radius R</w:t>
            </w:r>
          </w:p>
        </w:tc>
        <w:tc>
          <w:tcPr>
            <w:tcW w:w="2484" w:type="dxa"/>
            <w:shd w:val="clear" w:color="auto" w:fill="D9EAF7"/>
            <w:vAlign w:val="center"/>
          </w:tcPr>
          <w:p w14:paraId="7DEAC7D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Ideal cell area</w:t>
            </w:r>
          </w:p>
        </w:tc>
        <w:tc>
          <w:tcPr>
            <w:tcW w:w="2484" w:type="dxa"/>
            <w:shd w:val="clear" w:color="auto" w:fill="D9EAF7"/>
            <w:vAlign w:val="center"/>
          </w:tcPr>
          <w:p w14:paraId="33027E2B"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Cells per 100 km² before overlap/terrain allowance</w:t>
            </w:r>
          </w:p>
        </w:tc>
      </w:tr>
      <w:tr w:rsidR="00240BDD" w:rsidRPr="00C43864" w14:paraId="3FEC666B" w14:textId="77777777">
        <w:trPr>
          <w:jc w:val="center"/>
        </w:trPr>
        <w:tc>
          <w:tcPr>
            <w:tcW w:w="2484" w:type="dxa"/>
            <w:vAlign w:val="center"/>
          </w:tcPr>
          <w:p w14:paraId="33CAB2B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Low-band macro</w:t>
            </w:r>
          </w:p>
        </w:tc>
        <w:tc>
          <w:tcPr>
            <w:tcW w:w="2484" w:type="dxa"/>
            <w:vAlign w:val="center"/>
          </w:tcPr>
          <w:p w14:paraId="0236D4E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3.0 km</w:t>
            </w:r>
          </w:p>
        </w:tc>
        <w:tc>
          <w:tcPr>
            <w:tcW w:w="2484" w:type="dxa"/>
            <w:vAlign w:val="center"/>
          </w:tcPr>
          <w:p w14:paraId="0C9251C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23.38 km²</w:t>
            </w:r>
          </w:p>
        </w:tc>
        <w:tc>
          <w:tcPr>
            <w:tcW w:w="2484" w:type="dxa"/>
            <w:vAlign w:val="center"/>
          </w:tcPr>
          <w:p w14:paraId="6458DB92" w14:textId="77777777" w:rsidR="00240BDD" w:rsidRPr="00C43864" w:rsidRDefault="00000000" w:rsidP="00C43864">
            <w:pPr>
              <w:spacing w:after="0" w:line="360" w:lineRule="auto"/>
              <w:rPr>
                <w:rFonts w:cs="Times New Roman"/>
                <w:sz w:val="24"/>
                <w:szCs w:val="24"/>
              </w:rPr>
            </w:pPr>
            <w:proofErr w:type="gramStart"/>
            <w:r w:rsidRPr="00C43864">
              <w:rPr>
                <w:rFonts w:cs="Times New Roman"/>
                <w:sz w:val="24"/>
                <w:szCs w:val="24"/>
              </w:rPr>
              <w:t>ceil(</w:t>
            </w:r>
            <w:proofErr w:type="gramEnd"/>
            <w:r w:rsidRPr="00C43864">
              <w:rPr>
                <w:rFonts w:cs="Times New Roman"/>
                <w:sz w:val="24"/>
                <w:szCs w:val="24"/>
              </w:rPr>
              <w:t>100/23.38) = 5</w:t>
            </w:r>
          </w:p>
        </w:tc>
      </w:tr>
      <w:tr w:rsidR="00240BDD" w:rsidRPr="00C43864" w14:paraId="3A80E451" w14:textId="77777777">
        <w:trPr>
          <w:jc w:val="center"/>
        </w:trPr>
        <w:tc>
          <w:tcPr>
            <w:tcW w:w="2484" w:type="dxa"/>
            <w:vAlign w:val="center"/>
          </w:tcPr>
          <w:p w14:paraId="6B21E11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Mid-band macro</w:t>
            </w:r>
          </w:p>
        </w:tc>
        <w:tc>
          <w:tcPr>
            <w:tcW w:w="2484" w:type="dxa"/>
            <w:vAlign w:val="center"/>
          </w:tcPr>
          <w:p w14:paraId="0DC662B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 km</w:t>
            </w:r>
          </w:p>
        </w:tc>
        <w:tc>
          <w:tcPr>
            <w:tcW w:w="2484" w:type="dxa"/>
            <w:vAlign w:val="center"/>
          </w:tcPr>
          <w:p w14:paraId="0EC4E0A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2.598 km²</w:t>
            </w:r>
          </w:p>
        </w:tc>
        <w:tc>
          <w:tcPr>
            <w:tcW w:w="2484" w:type="dxa"/>
            <w:vAlign w:val="center"/>
          </w:tcPr>
          <w:p w14:paraId="31EBB4B9" w14:textId="77777777" w:rsidR="00240BDD" w:rsidRPr="00C43864" w:rsidRDefault="00000000" w:rsidP="00C43864">
            <w:pPr>
              <w:spacing w:after="0" w:line="360" w:lineRule="auto"/>
              <w:rPr>
                <w:rFonts w:cs="Times New Roman"/>
                <w:sz w:val="24"/>
                <w:szCs w:val="24"/>
              </w:rPr>
            </w:pPr>
            <w:proofErr w:type="gramStart"/>
            <w:r w:rsidRPr="00C43864">
              <w:rPr>
                <w:rFonts w:cs="Times New Roman"/>
                <w:sz w:val="24"/>
                <w:szCs w:val="24"/>
              </w:rPr>
              <w:t>ceil(</w:t>
            </w:r>
            <w:proofErr w:type="gramEnd"/>
            <w:r w:rsidRPr="00C43864">
              <w:rPr>
                <w:rFonts w:cs="Times New Roman"/>
                <w:sz w:val="24"/>
                <w:szCs w:val="24"/>
              </w:rPr>
              <w:t>100/2.598) = 39</w:t>
            </w:r>
          </w:p>
        </w:tc>
      </w:tr>
      <w:tr w:rsidR="00240BDD" w:rsidRPr="00C43864" w14:paraId="6CBE8E64" w14:textId="77777777">
        <w:trPr>
          <w:jc w:val="center"/>
        </w:trPr>
        <w:tc>
          <w:tcPr>
            <w:tcW w:w="2484" w:type="dxa"/>
            <w:vAlign w:val="center"/>
          </w:tcPr>
          <w:p w14:paraId="7DC3B95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Urban micro layer</w:t>
            </w:r>
          </w:p>
        </w:tc>
        <w:tc>
          <w:tcPr>
            <w:tcW w:w="2484" w:type="dxa"/>
            <w:vAlign w:val="center"/>
          </w:tcPr>
          <w:p w14:paraId="58AAF8A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0.3 km</w:t>
            </w:r>
          </w:p>
        </w:tc>
        <w:tc>
          <w:tcPr>
            <w:tcW w:w="2484" w:type="dxa"/>
            <w:vAlign w:val="center"/>
          </w:tcPr>
          <w:p w14:paraId="32111C3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0.234 km²</w:t>
            </w:r>
          </w:p>
        </w:tc>
        <w:tc>
          <w:tcPr>
            <w:tcW w:w="2484" w:type="dxa"/>
            <w:vAlign w:val="center"/>
          </w:tcPr>
          <w:p w14:paraId="5574611E" w14:textId="77777777" w:rsidR="00240BDD" w:rsidRPr="00C43864" w:rsidRDefault="00000000" w:rsidP="00C43864">
            <w:pPr>
              <w:spacing w:after="0" w:line="360" w:lineRule="auto"/>
              <w:rPr>
                <w:rFonts w:cs="Times New Roman"/>
                <w:sz w:val="24"/>
                <w:szCs w:val="24"/>
              </w:rPr>
            </w:pPr>
            <w:proofErr w:type="gramStart"/>
            <w:r w:rsidRPr="00C43864">
              <w:rPr>
                <w:rFonts w:cs="Times New Roman"/>
                <w:sz w:val="24"/>
                <w:szCs w:val="24"/>
              </w:rPr>
              <w:t>ceil(</w:t>
            </w:r>
            <w:proofErr w:type="gramEnd"/>
            <w:r w:rsidRPr="00C43864">
              <w:rPr>
                <w:rFonts w:cs="Times New Roman"/>
                <w:sz w:val="24"/>
                <w:szCs w:val="24"/>
              </w:rPr>
              <w:t>100/0.234) = 428</w:t>
            </w:r>
          </w:p>
        </w:tc>
      </w:tr>
    </w:tbl>
    <w:p w14:paraId="65699201" w14:textId="77777777" w:rsidR="00240BDD" w:rsidRPr="00C43864" w:rsidRDefault="00240BDD" w:rsidP="00C43864">
      <w:pPr>
        <w:spacing w:line="360" w:lineRule="auto"/>
        <w:rPr>
          <w:rFonts w:cs="Times New Roman"/>
          <w:sz w:val="24"/>
          <w:szCs w:val="24"/>
        </w:rPr>
      </w:pPr>
    </w:p>
    <w:p w14:paraId="1E131DFC" w14:textId="77777777" w:rsidR="00240BDD" w:rsidRPr="00C43864" w:rsidRDefault="00000000" w:rsidP="00C43864">
      <w:pPr>
        <w:spacing w:line="360" w:lineRule="auto"/>
        <w:rPr>
          <w:rFonts w:cs="Times New Roman"/>
          <w:sz w:val="24"/>
          <w:szCs w:val="24"/>
        </w:rPr>
      </w:pPr>
      <w:r w:rsidRPr="00C43864">
        <w:rPr>
          <w:rFonts w:cs="Times New Roman"/>
          <w:sz w:val="24"/>
          <w:szCs w:val="24"/>
        </w:rPr>
        <w:t>These are geometry-only figures and must not be interpreted as final site counts. A real coverage plan should apply an overlap/edge allowance, terrain and clutter loss, indoor requirements, antenna patterns, load forecasts and backhaul constraints. A capacity-driven network may require more sites than the coverage-only estimate.</w:t>
      </w:r>
    </w:p>
    <w:p w14:paraId="5E721C6B"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lastRenderedPageBreak/>
        <w:t>4. Stage 3 – Quantitative Capacity, Latency and Reliability</w:t>
      </w:r>
    </w:p>
    <w:p w14:paraId="5AB926D6"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4.1 Traffic-demand assumptions</w:t>
      </w:r>
    </w:p>
    <w:p w14:paraId="0C13C426" w14:textId="77777777" w:rsidR="00240BDD" w:rsidRPr="00C43864" w:rsidRDefault="00000000" w:rsidP="00C43864">
      <w:pPr>
        <w:spacing w:line="360" w:lineRule="auto"/>
        <w:rPr>
          <w:rFonts w:cs="Times New Roman"/>
          <w:sz w:val="24"/>
          <w:szCs w:val="24"/>
        </w:rPr>
      </w:pPr>
      <w:r w:rsidRPr="00C43864">
        <w:rPr>
          <w:rFonts w:cs="Times New Roman"/>
          <w:sz w:val="24"/>
          <w:szCs w:val="24"/>
        </w:rPr>
        <w:t>The brief does not provide state-wise subscriber counts or traffic per subscriber. To demonstrate a reproducible calculation, this report uses an illustrative planning sample of 1,000,000 busy-hour-active-equivalent broadband subscribers across a representative regional planning cluster, with 0.02 Erlang of offered traffic per subscriber for the Erlang B exercise. These values are assumptions, not measured subscriber statistics. For packet data, separate throughput-based calculations are also used.</w:t>
      </w:r>
    </w:p>
    <w:tbl>
      <w:tblPr>
        <w:tblStyle w:val="TableGrid"/>
        <w:tblW w:w="0" w:type="auto"/>
        <w:jc w:val="center"/>
        <w:tblLook w:val="04A0" w:firstRow="1" w:lastRow="0" w:firstColumn="1" w:lastColumn="0" w:noHBand="0" w:noVBand="1"/>
      </w:tblPr>
      <w:tblGrid>
        <w:gridCol w:w="2481"/>
        <w:gridCol w:w="2482"/>
        <w:gridCol w:w="2482"/>
        <w:gridCol w:w="2481"/>
      </w:tblGrid>
      <w:tr w:rsidR="00240BDD" w:rsidRPr="00C43864" w14:paraId="3D10BD68" w14:textId="77777777">
        <w:trPr>
          <w:jc w:val="center"/>
        </w:trPr>
        <w:tc>
          <w:tcPr>
            <w:tcW w:w="2484" w:type="dxa"/>
            <w:shd w:val="clear" w:color="auto" w:fill="D9EAF7"/>
            <w:vAlign w:val="center"/>
          </w:tcPr>
          <w:p w14:paraId="6D58A890"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Traffic class</w:t>
            </w:r>
          </w:p>
        </w:tc>
        <w:tc>
          <w:tcPr>
            <w:tcW w:w="2484" w:type="dxa"/>
            <w:shd w:val="clear" w:color="auto" w:fill="D9EAF7"/>
            <w:vAlign w:val="center"/>
          </w:tcPr>
          <w:p w14:paraId="7D47967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Assumed simultaneous demand</w:t>
            </w:r>
          </w:p>
        </w:tc>
        <w:tc>
          <w:tcPr>
            <w:tcW w:w="2484" w:type="dxa"/>
            <w:shd w:val="clear" w:color="auto" w:fill="D9EAF7"/>
            <w:vAlign w:val="center"/>
          </w:tcPr>
          <w:p w14:paraId="3E637040"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Average rate per active session/device</w:t>
            </w:r>
          </w:p>
        </w:tc>
        <w:tc>
          <w:tcPr>
            <w:tcW w:w="2484" w:type="dxa"/>
            <w:shd w:val="clear" w:color="auto" w:fill="D9EAF7"/>
            <w:vAlign w:val="center"/>
          </w:tcPr>
          <w:p w14:paraId="07D6233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Aggregate demand</w:t>
            </w:r>
          </w:p>
        </w:tc>
      </w:tr>
      <w:tr w:rsidR="00240BDD" w:rsidRPr="00C43864" w14:paraId="65D9D7AF" w14:textId="77777777">
        <w:trPr>
          <w:jc w:val="center"/>
        </w:trPr>
        <w:tc>
          <w:tcPr>
            <w:tcW w:w="2484" w:type="dxa"/>
            <w:vAlign w:val="center"/>
          </w:tcPr>
          <w:p w14:paraId="463F17D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HD video / eMBB</w:t>
            </w:r>
          </w:p>
        </w:tc>
        <w:tc>
          <w:tcPr>
            <w:tcW w:w="2484" w:type="dxa"/>
            <w:vAlign w:val="center"/>
          </w:tcPr>
          <w:p w14:paraId="7D839EB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20,000 simultaneous sessions</w:t>
            </w:r>
          </w:p>
        </w:tc>
        <w:tc>
          <w:tcPr>
            <w:tcW w:w="2484" w:type="dxa"/>
            <w:vAlign w:val="center"/>
          </w:tcPr>
          <w:p w14:paraId="3D6D21C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8 Mbps</w:t>
            </w:r>
          </w:p>
        </w:tc>
        <w:tc>
          <w:tcPr>
            <w:tcW w:w="2484" w:type="dxa"/>
            <w:vAlign w:val="center"/>
          </w:tcPr>
          <w:p w14:paraId="1EB6CCC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160,000 Mbps = 160 Gbps</w:t>
            </w:r>
          </w:p>
        </w:tc>
      </w:tr>
      <w:tr w:rsidR="00240BDD" w:rsidRPr="00C43864" w14:paraId="732265A8" w14:textId="77777777">
        <w:trPr>
          <w:jc w:val="center"/>
        </w:trPr>
        <w:tc>
          <w:tcPr>
            <w:tcW w:w="2484" w:type="dxa"/>
            <w:vAlign w:val="center"/>
          </w:tcPr>
          <w:p w14:paraId="7134510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Connected transport / critical data</w:t>
            </w:r>
          </w:p>
        </w:tc>
        <w:tc>
          <w:tcPr>
            <w:tcW w:w="2484" w:type="dxa"/>
            <w:vAlign w:val="center"/>
          </w:tcPr>
          <w:p w14:paraId="7F156E6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5,000 active sessions</w:t>
            </w:r>
          </w:p>
        </w:tc>
        <w:tc>
          <w:tcPr>
            <w:tcW w:w="2484" w:type="dxa"/>
            <w:vAlign w:val="center"/>
          </w:tcPr>
          <w:p w14:paraId="743A599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 Mbps</w:t>
            </w:r>
          </w:p>
        </w:tc>
        <w:tc>
          <w:tcPr>
            <w:tcW w:w="2484" w:type="dxa"/>
            <w:vAlign w:val="center"/>
          </w:tcPr>
          <w:p w14:paraId="7D8BB16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10,000 Mbps = 10 Gbps</w:t>
            </w:r>
          </w:p>
        </w:tc>
      </w:tr>
      <w:tr w:rsidR="00240BDD" w:rsidRPr="00C43864" w14:paraId="5C491CB4" w14:textId="77777777">
        <w:trPr>
          <w:jc w:val="center"/>
        </w:trPr>
        <w:tc>
          <w:tcPr>
            <w:tcW w:w="2484" w:type="dxa"/>
            <w:vAlign w:val="center"/>
          </w:tcPr>
          <w:p w14:paraId="09A2CDC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Industrial IoT / sensors</w:t>
            </w:r>
          </w:p>
        </w:tc>
        <w:tc>
          <w:tcPr>
            <w:tcW w:w="2484" w:type="dxa"/>
            <w:vAlign w:val="center"/>
          </w:tcPr>
          <w:p w14:paraId="45BC11F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100,000 devices; assume 1% simultaneous at 100 kbps</w:t>
            </w:r>
          </w:p>
        </w:tc>
        <w:tc>
          <w:tcPr>
            <w:tcW w:w="2484" w:type="dxa"/>
            <w:vAlign w:val="center"/>
          </w:tcPr>
          <w:p w14:paraId="5B0B35E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 Mbps per active device</w:t>
            </w:r>
          </w:p>
        </w:tc>
        <w:tc>
          <w:tcPr>
            <w:tcW w:w="2484" w:type="dxa"/>
            <w:vAlign w:val="center"/>
          </w:tcPr>
          <w:p w14:paraId="581FF00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 Mbps</w:t>
            </w:r>
          </w:p>
        </w:tc>
      </w:tr>
      <w:tr w:rsidR="00240BDD" w:rsidRPr="00C43864" w14:paraId="503278F6" w14:textId="77777777">
        <w:trPr>
          <w:jc w:val="center"/>
        </w:trPr>
        <w:tc>
          <w:tcPr>
            <w:tcW w:w="2484" w:type="dxa"/>
            <w:vAlign w:val="center"/>
          </w:tcPr>
          <w:p w14:paraId="7BDF1A8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Remote healthcare video</w:t>
            </w:r>
          </w:p>
        </w:tc>
        <w:tc>
          <w:tcPr>
            <w:tcW w:w="2484" w:type="dxa"/>
            <w:vAlign w:val="center"/>
          </w:tcPr>
          <w:p w14:paraId="39089D0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1,000 simultaneous sessions</w:t>
            </w:r>
          </w:p>
        </w:tc>
        <w:tc>
          <w:tcPr>
            <w:tcW w:w="2484" w:type="dxa"/>
            <w:vAlign w:val="center"/>
          </w:tcPr>
          <w:p w14:paraId="1A7D118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8 Mbps</w:t>
            </w:r>
          </w:p>
        </w:tc>
        <w:tc>
          <w:tcPr>
            <w:tcW w:w="2484" w:type="dxa"/>
            <w:vAlign w:val="center"/>
          </w:tcPr>
          <w:p w14:paraId="4B17194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8,000 Mbps = 8 Gbps</w:t>
            </w:r>
          </w:p>
        </w:tc>
      </w:tr>
      <w:tr w:rsidR="00240BDD" w:rsidRPr="00C43864" w14:paraId="2AFB1362" w14:textId="77777777">
        <w:trPr>
          <w:jc w:val="center"/>
        </w:trPr>
        <w:tc>
          <w:tcPr>
            <w:tcW w:w="2484" w:type="dxa"/>
            <w:vAlign w:val="center"/>
          </w:tcPr>
          <w:p w14:paraId="3B5754F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Total modelled peak</w:t>
            </w:r>
          </w:p>
        </w:tc>
        <w:tc>
          <w:tcPr>
            <w:tcW w:w="2484" w:type="dxa"/>
            <w:vAlign w:val="center"/>
          </w:tcPr>
          <w:p w14:paraId="2063CBF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w:t>
            </w:r>
          </w:p>
        </w:tc>
        <w:tc>
          <w:tcPr>
            <w:tcW w:w="2484" w:type="dxa"/>
            <w:vAlign w:val="center"/>
          </w:tcPr>
          <w:p w14:paraId="2F94B81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w:t>
            </w:r>
          </w:p>
        </w:tc>
        <w:tc>
          <w:tcPr>
            <w:tcW w:w="2484" w:type="dxa"/>
            <w:vAlign w:val="center"/>
          </w:tcPr>
          <w:p w14:paraId="77664F3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178.1 Gbps</w:t>
            </w:r>
          </w:p>
        </w:tc>
      </w:tr>
    </w:tbl>
    <w:p w14:paraId="7D2354DD" w14:textId="77777777" w:rsidR="00240BDD" w:rsidRPr="00C43864" w:rsidRDefault="00240BDD" w:rsidP="00C43864">
      <w:pPr>
        <w:spacing w:line="360" w:lineRule="auto"/>
        <w:rPr>
          <w:rFonts w:cs="Times New Roman"/>
          <w:sz w:val="24"/>
          <w:szCs w:val="24"/>
        </w:rPr>
      </w:pPr>
    </w:p>
    <w:p w14:paraId="4F7BA050" w14:textId="77777777" w:rsidR="00240BDD" w:rsidRPr="00C43864" w:rsidRDefault="00000000" w:rsidP="00C43864">
      <w:pPr>
        <w:spacing w:line="360" w:lineRule="auto"/>
        <w:rPr>
          <w:rFonts w:cs="Times New Roman"/>
          <w:sz w:val="24"/>
          <w:szCs w:val="24"/>
        </w:rPr>
      </w:pPr>
      <w:r w:rsidRPr="00C43864">
        <w:rPr>
          <w:rFonts w:cs="Times New Roman"/>
          <w:sz w:val="24"/>
          <w:szCs w:val="24"/>
        </w:rPr>
        <w:t>This scenario is deliberately transparent rather than a forecast. The video and healthcare rates are application-level assumptions; transport traffic varies widely by sensor, camera and vehicle design. The 100,000 IoT devices generate 1,000 simultaneous sessions under the 1% concurrency assumption.</w:t>
      </w:r>
    </w:p>
    <w:p w14:paraId="54C20AFB"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4.2 Capacity and minimum cell count</w:t>
      </w:r>
    </w:p>
    <w:p w14:paraId="332C2AEE"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Approximate cell throughput is R_cell = B × η, where B is usable bandwidth in Hz and η is net spectral efficiency in bit/s/Hz. To reflect real overhead, an illustrative net efficiency of </w:t>
      </w:r>
      <w:proofErr w:type="gramStart"/>
      <w:r w:rsidRPr="00C43864">
        <w:rPr>
          <w:rFonts w:cs="Times New Roman"/>
          <w:sz w:val="24"/>
          <w:szCs w:val="24"/>
        </w:rPr>
        <w:t>3 bit</w:t>
      </w:r>
      <w:proofErr w:type="gramEnd"/>
      <w:r w:rsidRPr="00C43864">
        <w:rPr>
          <w:rFonts w:cs="Times New Roman"/>
          <w:sz w:val="24"/>
          <w:szCs w:val="24"/>
        </w:rPr>
        <w:t>/s/Hz is assumed for a loaded mid-band sector; actual values vary by SINR, MIMO layers, scheduler, mobility and overhead.</w:t>
      </w:r>
    </w:p>
    <w:tbl>
      <w:tblPr>
        <w:tblStyle w:val="TableGrid"/>
        <w:tblW w:w="0" w:type="auto"/>
        <w:jc w:val="center"/>
        <w:tblLook w:val="04A0" w:firstRow="1" w:lastRow="0" w:firstColumn="1" w:lastColumn="0" w:noHBand="0" w:noVBand="1"/>
      </w:tblPr>
      <w:tblGrid>
        <w:gridCol w:w="2482"/>
        <w:gridCol w:w="2482"/>
        <w:gridCol w:w="2481"/>
        <w:gridCol w:w="2481"/>
      </w:tblGrid>
      <w:tr w:rsidR="00240BDD" w:rsidRPr="00C43864" w14:paraId="3F1BFE33" w14:textId="77777777">
        <w:trPr>
          <w:jc w:val="center"/>
        </w:trPr>
        <w:tc>
          <w:tcPr>
            <w:tcW w:w="2484" w:type="dxa"/>
            <w:shd w:val="clear" w:color="auto" w:fill="D9EAF7"/>
            <w:vAlign w:val="center"/>
          </w:tcPr>
          <w:p w14:paraId="4077CDF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Configuration</w:t>
            </w:r>
          </w:p>
        </w:tc>
        <w:tc>
          <w:tcPr>
            <w:tcW w:w="2484" w:type="dxa"/>
            <w:shd w:val="clear" w:color="auto" w:fill="D9EAF7"/>
            <w:vAlign w:val="center"/>
          </w:tcPr>
          <w:p w14:paraId="4F247C74"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Assumed usable bandwidth</w:t>
            </w:r>
          </w:p>
        </w:tc>
        <w:tc>
          <w:tcPr>
            <w:tcW w:w="2484" w:type="dxa"/>
            <w:shd w:val="clear" w:color="auto" w:fill="D9EAF7"/>
            <w:vAlign w:val="center"/>
          </w:tcPr>
          <w:p w14:paraId="45C7492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Net spectral efficiency</w:t>
            </w:r>
          </w:p>
        </w:tc>
        <w:tc>
          <w:tcPr>
            <w:tcW w:w="2484" w:type="dxa"/>
            <w:shd w:val="clear" w:color="auto" w:fill="D9EAF7"/>
            <w:vAlign w:val="center"/>
          </w:tcPr>
          <w:p w14:paraId="094F37C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Approx. sector capacity</w:t>
            </w:r>
          </w:p>
        </w:tc>
      </w:tr>
      <w:tr w:rsidR="00240BDD" w:rsidRPr="00C43864" w14:paraId="73FA58D6" w14:textId="77777777">
        <w:trPr>
          <w:jc w:val="center"/>
        </w:trPr>
        <w:tc>
          <w:tcPr>
            <w:tcW w:w="2484" w:type="dxa"/>
            <w:vAlign w:val="center"/>
          </w:tcPr>
          <w:p w14:paraId="2FF3BEC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Mid-band sector A</w:t>
            </w:r>
          </w:p>
        </w:tc>
        <w:tc>
          <w:tcPr>
            <w:tcW w:w="2484" w:type="dxa"/>
            <w:vAlign w:val="center"/>
          </w:tcPr>
          <w:p w14:paraId="34E9858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 MHz</w:t>
            </w:r>
          </w:p>
        </w:tc>
        <w:tc>
          <w:tcPr>
            <w:tcW w:w="2484" w:type="dxa"/>
            <w:vAlign w:val="center"/>
          </w:tcPr>
          <w:p w14:paraId="7DB41AE0" w14:textId="77777777" w:rsidR="00240BDD" w:rsidRPr="00C43864" w:rsidRDefault="00000000" w:rsidP="00C43864">
            <w:pPr>
              <w:spacing w:after="0" w:line="360" w:lineRule="auto"/>
              <w:rPr>
                <w:rFonts w:cs="Times New Roman"/>
                <w:sz w:val="24"/>
                <w:szCs w:val="24"/>
              </w:rPr>
            </w:pPr>
            <w:proofErr w:type="gramStart"/>
            <w:r w:rsidRPr="00C43864">
              <w:rPr>
                <w:rFonts w:cs="Times New Roman"/>
                <w:sz w:val="24"/>
                <w:szCs w:val="24"/>
              </w:rPr>
              <w:t>3 bit</w:t>
            </w:r>
            <w:proofErr w:type="gramEnd"/>
            <w:r w:rsidRPr="00C43864">
              <w:rPr>
                <w:rFonts w:cs="Times New Roman"/>
                <w:sz w:val="24"/>
                <w:szCs w:val="24"/>
              </w:rPr>
              <w:t>/s/Hz</w:t>
            </w:r>
          </w:p>
        </w:tc>
        <w:tc>
          <w:tcPr>
            <w:tcW w:w="2484" w:type="dxa"/>
            <w:vAlign w:val="center"/>
          </w:tcPr>
          <w:p w14:paraId="0178023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300 Mbps</w:t>
            </w:r>
          </w:p>
        </w:tc>
      </w:tr>
      <w:tr w:rsidR="00240BDD" w:rsidRPr="00C43864" w14:paraId="3C30A10D" w14:textId="77777777">
        <w:trPr>
          <w:jc w:val="center"/>
        </w:trPr>
        <w:tc>
          <w:tcPr>
            <w:tcW w:w="2484" w:type="dxa"/>
            <w:vAlign w:val="center"/>
          </w:tcPr>
          <w:p w14:paraId="662F0DE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Mid-band sector B</w:t>
            </w:r>
          </w:p>
        </w:tc>
        <w:tc>
          <w:tcPr>
            <w:tcW w:w="2484" w:type="dxa"/>
            <w:vAlign w:val="center"/>
          </w:tcPr>
          <w:p w14:paraId="3635BF4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 MHz</w:t>
            </w:r>
          </w:p>
        </w:tc>
        <w:tc>
          <w:tcPr>
            <w:tcW w:w="2484" w:type="dxa"/>
            <w:vAlign w:val="center"/>
          </w:tcPr>
          <w:p w14:paraId="46F79E2C" w14:textId="77777777" w:rsidR="00240BDD" w:rsidRPr="00C43864" w:rsidRDefault="00000000" w:rsidP="00C43864">
            <w:pPr>
              <w:spacing w:after="0" w:line="360" w:lineRule="auto"/>
              <w:rPr>
                <w:rFonts w:cs="Times New Roman"/>
                <w:sz w:val="24"/>
                <w:szCs w:val="24"/>
              </w:rPr>
            </w:pPr>
            <w:proofErr w:type="gramStart"/>
            <w:r w:rsidRPr="00C43864">
              <w:rPr>
                <w:rFonts w:cs="Times New Roman"/>
                <w:sz w:val="24"/>
                <w:szCs w:val="24"/>
              </w:rPr>
              <w:t>3 bit</w:t>
            </w:r>
            <w:proofErr w:type="gramEnd"/>
            <w:r w:rsidRPr="00C43864">
              <w:rPr>
                <w:rFonts w:cs="Times New Roman"/>
                <w:sz w:val="24"/>
                <w:szCs w:val="24"/>
              </w:rPr>
              <w:t>/s/Hz</w:t>
            </w:r>
          </w:p>
        </w:tc>
        <w:tc>
          <w:tcPr>
            <w:tcW w:w="2484" w:type="dxa"/>
            <w:vAlign w:val="center"/>
          </w:tcPr>
          <w:p w14:paraId="247BCB3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300 Mbps</w:t>
            </w:r>
          </w:p>
        </w:tc>
      </w:tr>
      <w:tr w:rsidR="00240BDD" w:rsidRPr="00C43864" w14:paraId="5A4771E7" w14:textId="77777777">
        <w:trPr>
          <w:jc w:val="center"/>
        </w:trPr>
        <w:tc>
          <w:tcPr>
            <w:tcW w:w="2484" w:type="dxa"/>
            <w:vAlign w:val="center"/>
          </w:tcPr>
          <w:p w14:paraId="309F4AE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mmWave hotspot sector</w:t>
            </w:r>
          </w:p>
        </w:tc>
        <w:tc>
          <w:tcPr>
            <w:tcW w:w="2484" w:type="dxa"/>
            <w:vAlign w:val="center"/>
          </w:tcPr>
          <w:p w14:paraId="6A09A8A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400 MHz</w:t>
            </w:r>
          </w:p>
        </w:tc>
        <w:tc>
          <w:tcPr>
            <w:tcW w:w="2484" w:type="dxa"/>
            <w:vAlign w:val="center"/>
          </w:tcPr>
          <w:p w14:paraId="0F9810F9" w14:textId="77777777" w:rsidR="00240BDD" w:rsidRPr="00C43864" w:rsidRDefault="00000000" w:rsidP="00C43864">
            <w:pPr>
              <w:spacing w:after="0" w:line="360" w:lineRule="auto"/>
              <w:rPr>
                <w:rFonts w:cs="Times New Roman"/>
                <w:sz w:val="24"/>
                <w:szCs w:val="24"/>
              </w:rPr>
            </w:pPr>
            <w:proofErr w:type="gramStart"/>
            <w:r w:rsidRPr="00C43864">
              <w:rPr>
                <w:rFonts w:cs="Times New Roman"/>
                <w:sz w:val="24"/>
                <w:szCs w:val="24"/>
              </w:rPr>
              <w:t>4 bit</w:t>
            </w:r>
            <w:proofErr w:type="gramEnd"/>
            <w:r w:rsidRPr="00C43864">
              <w:rPr>
                <w:rFonts w:cs="Times New Roman"/>
                <w:sz w:val="24"/>
                <w:szCs w:val="24"/>
              </w:rPr>
              <w:t>/s/Hz</w:t>
            </w:r>
          </w:p>
        </w:tc>
        <w:tc>
          <w:tcPr>
            <w:tcW w:w="2484" w:type="dxa"/>
            <w:vAlign w:val="center"/>
          </w:tcPr>
          <w:p w14:paraId="57CFCF1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1.6 Gbps</w:t>
            </w:r>
          </w:p>
        </w:tc>
      </w:tr>
    </w:tbl>
    <w:p w14:paraId="01E983A3" w14:textId="77777777" w:rsidR="00240BDD" w:rsidRPr="00C43864" w:rsidRDefault="00240BDD" w:rsidP="00C43864">
      <w:pPr>
        <w:spacing w:line="360" w:lineRule="auto"/>
        <w:rPr>
          <w:rFonts w:cs="Times New Roman"/>
          <w:sz w:val="24"/>
          <w:szCs w:val="24"/>
        </w:rPr>
      </w:pPr>
    </w:p>
    <w:p w14:paraId="766BBA16"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For a conservative all-mid-band illustration, the theoretical minimum sectors to carry 178.1 Gbps at 300 Mbps/sector is </w:t>
      </w:r>
      <w:proofErr w:type="gramStart"/>
      <w:r w:rsidRPr="00C43864">
        <w:rPr>
          <w:rFonts w:cs="Times New Roman"/>
          <w:sz w:val="24"/>
          <w:szCs w:val="24"/>
        </w:rPr>
        <w:t>ceil(</w:t>
      </w:r>
      <w:proofErr w:type="gramEnd"/>
      <w:r w:rsidRPr="00C43864">
        <w:rPr>
          <w:rFonts w:cs="Times New Roman"/>
          <w:sz w:val="24"/>
          <w:szCs w:val="24"/>
        </w:rPr>
        <w:t xml:space="preserve">178,100/300) = 594 sectors. At a design utilization ceiling of 70%, planned capacity per sector is 210 Mbps, giving </w:t>
      </w:r>
      <w:proofErr w:type="gramStart"/>
      <w:r w:rsidRPr="00C43864">
        <w:rPr>
          <w:rFonts w:cs="Times New Roman"/>
          <w:sz w:val="24"/>
          <w:szCs w:val="24"/>
        </w:rPr>
        <w:t>ceil(</w:t>
      </w:r>
      <w:proofErr w:type="gramEnd"/>
      <w:r w:rsidRPr="00C43864">
        <w:rPr>
          <w:rFonts w:cs="Times New Roman"/>
          <w:sz w:val="24"/>
          <w:szCs w:val="24"/>
        </w:rPr>
        <w:t>178,100/210) = 848 sectors. This is a regional aggregate example, not a claim that all traffic is geographically uniform. Traffic locality, sector overlap, uplink demand and redundancy would change the final count.</w:t>
      </w:r>
    </w:p>
    <w:p w14:paraId="1DCECED7"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4.3 Bandwidth and Shannon capacity</w:t>
      </w:r>
    </w:p>
    <w:p w14:paraId="21E1C76E" w14:textId="77777777" w:rsidR="00240BDD" w:rsidRPr="00C43864" w:rsidRDefault="00000000" w:rsidP="00C43864">
      <w:pPr>
        <w:spacing w:line="360" w:lineRule="auto"/>
        <w:rPr>
          <w:rFonts w:cs="Times New Roman"/>
          <w:sz w:val="24"/>
          <w:szCs w:val="24"/>
        </w:rPr>
      </w:pPr>
      <w:r w:rsidRPr="00C43864">
        <w:rPr>
          <w:rFonts w:cs="Times New Roman"/>
          <w:sz w:val="24"/>
          <w:szCs w:val="24"/>
        </w:rPr>
        <w:t>The Shannon relationship is C = B log</w:t>
      </w:r>
      <w:proofErr w:type="gramStart"/>
      <w:r w:rsidRPr="00C43864">
        <w:rPr>
          <w:rFonts w:cs="Times New Roman"/>
          <w:sz w:val="24"/>
          <w:szCs w:val="24"/>
        </w:rPr>
        <w:t>₂(</w:t>
      </w:r>
      <w:proofErr w:type="gramEnd"/>
      <w:r w:rsidRPr="00C43864">
        <w:rPr>
          <w:rFonts w:cs="Times New Roman"/>
          <w:sz w:val="24"/>
          <w:szCs w:val="24"/>
        </w:rPr>
        <w:t>1 + SNR), where C is theoretical channel capacity in bit/s, B is bandwidth in Hz, and SNR is a linear power ratio. For B = 100 MHz and SNR = 10 dB = 10 linear, C = 100×10⁶ × log</w:t>
      </w:r>
      <w:proofErr w:type="gramStart"/>
      <w:r w:rsidRPr="00C43864">
        <w:rPr>
          <w:rFonts w:cs="Times New Roman"/>
          <w:sz w:val="24"/>
          <w:szCs w:val="24"/>
        </w:rPr>
        <w:t>₂(</w:t>
      </w:r>
      <w:proofErr w:type="gramEnd"/>
      <w:r w:rsidRPr="00C43864">
        <w:rPr>
          <w:rFonts w:cs="Times New Roman"/>
          <w:sz w:val="24"/>
          <w:szCs w:val="24"/>
        </w:rPr>
        <w:t>11) ≈ 346 Mb/s. This is an upper bound for the simplified single-link model, not a guaranteed user rate. A practical 300 Mbps sector assumption can be optimistic or pessimistic depending on radio conditions and scheduling.</w:t>
      </w:r>
    </w:p>
    <w:p w14:paraId="6DAC78B6"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4.4 Propagation loss example</w:t>
      </w:r>
    </w:p>
    <w:p w14:paraId="0C9FCF56"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For a free-space comparison, </w:t>
      </w:r>
      <w:proofErr w:type="gramStart"/>
      <w:r w:rsidRPr="00C43864">
        <w:rPr>
          <w:rFonts w:cs="Times New Roman"/>
          <w:sz w:val="24"/>
          <w:szCs w:val="24"/>
        </w:rPr>
        <w:t>FSPL(</w:t>
      </w:r>
      <w:proofErr w:type="gramEnd"/>
      <w:r w:rsidRPr="00C43864">
        <w:rPr>
          <w:rFonts w:cs="Times New Roman"/>
          <w:sz w:val="24"/>
          <w:szCs w:val="24"/>
        </w:rPr>
        <w:t>dB) = 32.44 + 20log₁₀(f_MHz) + 20log₁₀(d_km). At 0.5 km:</w:t>
      </w:r>
    </w:p>
    <w:tbl>
      <w:tblPr>
        <w:tblStyle w:val="TableGrid"/>
        <w:tblW w:w="0" w:type="auto"/>
        <w:jc w:val="center"/>
        <w:tblLook w:val="04A0" w:firstRow="1" w:lastRow="0" w:firstColumn="1" w:lastColumn="0" w:noHBand="0" w:noVBand="1"/>
      </w:tblPr>
      <w:tblGrid>
        <w:gridCol w:w="3309"/>
        <w:gridCol w:w="3309"/>
        <w:gridCol w:w="3308"/>
      </w:tblGrid>
      <w:tr w:rsidR="00240BDD" w:rsidRPr="00C43864" w14:paraId="3A2FDC0C" w14:textId="77777777">
        <w:trPr>
          <w:jc w:val="center"/>
        </w:trPr>
        <w:tc>
          <w:tcPr>
            <w:tcW w:w="3312" w:type="dxa"/>
            <w:shd w:val="clear" w:color="auto" w:fill="D9EAF7"/>
            <w:vAlign w:val="center"/>
          </w:tcPr>
          <w:p w14:paraId="69E1DB66"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Frequency</w:t>
            </w:r>
          </w:p>
        </w:tc>
        <w:tc>
          <w:tcPr>
            <w:tcW w:w="3312" w:type="dxa"/>
            <w:shd w:val="clear" w:color="auto" w:fill="D9EAF7"/>
            <w:vAlign w:val="center"/>
          </w:tcPr>
          <w:p w14:paraId="18AACAFF"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Distance</w:t>
            </w:r>
          </w:p>
        </w:tc>
        <w:tc>
          <w:tcPr>
            <w:tcW w:w="3312" w:type="dxa"/>
            <w:shd w:val="clear" w:color="auto" w:fill="D9EAF7"/>
            <w:vAlign w:val="center"/>
          </w:tcPr>
          <w:p w14:paraId="6B3A6489"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Free-space path loss</w:t>
            </w:r>
          </w:p>
        </w:tc>
      </w:tr>
      <w:tr w:rsidR="00240BDD" w:rsidRPr="00C43864" w14:paraId="3D28EB5A" w14:textId="77777777">
        <w:trPr>
          <w:jc w:val="center"/>
        </w:trPr>
        <w:tc>
          <w:tcPr>
            <w:tcW w:w="3312" w:type="dxa"/>
            <w:vAlign w:val="center"/>
          </w:tcPr>
          <w:p w14:paraId="5919910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0.7 GHz</w:t>
            </w:r>
          </w:p>
        </w:tc>
        <w:tc>
          <w:tcPr>
            <w:tcW w:w="3312" w:type="dxa"/>
            <w:vAlign w:val="center"/>
          </w:tcPr>
          <w:p w14:paraId="44DC824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0.5 km</w:t>
            </w:r>
          </w:p>
        </w:tc>
        <w:tc>
          <w:tcPr>
            <w:tcW w:w="3312" w:type="dxa"/>
            <w:vAlign w:val="center"/>
          </w:tcPr>
          <w:p w14:paraId="5A7E5FA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83.32</w:t>
            </w:r>
          </w:p>
        </w:tc>
      </w:tr>
      <w:tr w:rsidR="00240BDD" w:rsidRPr="00C43864" w14:paraId="20AC19E6" w14:textId="77777777">
        <w:trPr>
          <w:jc w:val="center"/>
        </w:trPr>
        <w:tc>
          <w:tcPr>
            <w:tcW w:w="3312" w:type="dxa"/>
            <w:vAlign w:val="center"/>
          </w:tcPr>
          <w:p w14:paraId="65D9B96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3.5 GHz</w:t>
            </w:r>
          </w:p>
        </w:tc>
        <w:tc>
          <w:tcPr>
            <w:tcW w:w="3312" w:type="dxa"/>
            <w:vAlign w:val="center"/>
          </w:tcPr>
          <w:p w14:paraId="6CAB93B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0.5 km</w:t>
            </w:r>
          </w:p>
        </w:tc>
        <w:tc>
          <w:tcPr>
            <w:tcW w:w="3312" w:type="dxa"/>
            <w:vAlign w:val="center"/>
          </w:tcPr>
          <w:p w14:paraId="0D4EBCC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97.3</w:t>
            </w:r>
          </w:p>
        </w:tc>
      </w:tr>
      <w:tr w:rsidR="00240BDD" w:rsidRPr="00C43864" w14:paraId="5F215003" w14:textId="77777777">
        <w:trPr>
          <w:jc w:val="center"/>
        </w:trPr>
        <w:tc>
          <w:tcPr>
            <w:tcW w:w="3312" w:type="dxa"/>
            <w:vAlign w:val="center"/>
          </w:tcPr>
          <w:p w14:paraId="056A419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28 GHz</w:t>
            </w:r>
          </w:p>
        </w:tc>
        <w:tc>
          <w:tcPr>
            <w:tcW w:w="3312" w:type="dxa"/>
            <w:vAlign w:val="center"/>
          </w:tcPr>
          <w:p w14:paraId="5863A1D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0.5 km</w:t>
            </w:r>
          </w:p>
        </w:tc>
        <w:tc>
          <w:tcPr>
            <w:tcW w:w="3312" w:type="dxa"/>
            <w:vAlign w:val="center"/>
          </w:tcPr>
          <w:p w14:paraId="01456AD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115.36</w:t>
            </w:r>
          </w:p>
        </w:tc>
      </w:tr>
    </w:tbl>
    <w:p w14:paraId="1C0777FB" w14:textId="77777777" w:rsidR="00240BDD" w:rsidRPr="00C43864" w:rsidRDefault="00240BDD" w:rsidP="00C43864">
      <w:pPr>
        <w:spacing w:line="360" w:lineRule="auto"/>
        <w:rPr>
          <w:rFonts w:cs="Times New Roman"/>
          <w:sz w:val="24"/>
          <w:szCs w:val="24"/>
        </w:rPr>
      </w:pPr>
    </w:p>
    <w:p w14:paraId="6592A4E8" w14:textId="77777777" w:rsidR="00240BDD" w:rsidRPr="00C43864" w:rsidRDefault="00000000" w:rsidP="00C43864">
      <w:pPr>
        <w:spacing w:line="360" w:lineRule="auto"/>
        <w:rPr>
          <w:rFonts w:cs="Times New Roman"/>
          <w:sz w:val="24"/>
          <w:szCs w:val="24"/>
        </w:rPr>
      </w:pPr>
      <w:r w:rsidRPr="00C43864">
        <w:rPr>
          <w:rFonts w:cs="Times New Roman"/>
          <w:sz w:val="24"/>
          <w:szCs w:val="24"/>
        </w:rPr>
        <w:t>The free-space result shows increasing loss as frequency rises for the same distance. Real terrestrial links also experience shadowing, building penetration loss, diffraction, reflection, foliage loss and blockage. mmWave therefore benefits from short cell spacing, beamforming and dense site placement.</w:t>
      </w:r>
    </w:p>
    <w:p w14:paraId="45CD587C"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4.5 Latency budget and mobility</w:t>
      </w:r>
    </w:p>
    <w:tbl>
      <w:tblPr>
        <w:tblStyle w:val="TableGrid"/>
        <w:tblW w:w="0" w:type="auto"/>
        <w:jc w:val="center"/>
        <w:tblLook w:val="04A0" w:firstRow="1" w:lastRow="0" w:firstColumn="1" w:lastColumn="0" w:noHBand="0" w:noVBand="1"/>
      </w:tblPr>
      <w:tblGrid>
        <w:gridCol w:w="1878"/>
        <w:gridCol w:w="1919"/>
        <w:gridCol w:w="2230"/>
        <w:gridCol w:w="1960"/>
        <w:gridCol w:w="1939"/>
      </w:tblGrid>
      <w:tr w:rsidR="00240BDD" w:rsidRPr="00C43864" w14:paraId="207DBC8F" w14:textId="77777777">
        <w:trPr>
          <w:jc w:val="center"/>
        </w:trPr>
        <w:tc>
          <w:tcPr>
            <w:tcW w:w="1987" w:type="dxa"/>
            <w:shd w:val="clear" w:color="auto" w:fill="D9EAF7"/>
            <w:vAlign w:val="center"/>
          </w:tcPr>
          <w:p w14:paraId="71C85EB7"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Use case</w:t>
            </w:r>
          </w:p>
        </w:tc>
        <w:tc>
          <w:tcPr>
            <w:tcW w:w="1987" w:type="dxa"/>
            <w:shd w:val="clear" w:color="auto" w:fill="D9EAF7"/>
            <w:vAlign w:val="center"/>
          </w:tcPr>
          <w:p w14:paraId="2EE6923C"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Radio/access</w:t>
            </w:r>
          </w:p>
        </w:tc>
        <w:tc>
          <w:tcPr>
            <w:tcW w:w="1987" w:type="dxa"/>
            <w:shd w:val="clear" w:color="auto" w:fill="D9EAF7"/>
            <w:vAlign w:val="center"/>
          </w:tcPr>
          <w:p w14:paraId="5E84D618"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Backhaul/transport</w:t>
            </w:r>
          </w:p>
        </w:tc>
        <w:tc>
          <w:tcPr>
            <w:tcW w:w="1987" w:type="dxa"/>
            <w:shd w:val="clear" w:color="auto" w:fill="D9EAF7"/>
            <w:vAlign w:val="center"/>
          </w:tcPr>
          <w:p w14:paraId="29164FC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Core/edge processing</w:t>
            </w:r>
          </w:p>
        </w:tc>
        <w:tc>
          <w:tcPr>
            <w:tcW w:w="1987" w:type="dxa"/>
            <w:shd w:val="clear" w:color="auto" w:fill="D9EAF7"/>
            <w:vAlign w:val="center"/>
          </w:tcPr>
          <w:p w14:paraId="580059B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Target and interpretation</w:t>
            </w:r>
          </w:p>
        </w:tc>
      </w:tr>
      <w:tr w:rsidR="00240BDD" w:rsidRPr="00C43864" w14:paraId="600707CB" w14:textId="77777777">
        <w:trPr>
          <w:jc w:val="center"/>
        </w:trPr>
        <w:tc>
          <w:tcPr>
            <w:tcW w:w="1987" w:type="dxa"/>
            <w:vAlign w:val="center"/>
          </w:tcPr>
          <w:p w14:paraId="12B78AF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Local industrial </w:t>
            </w:r>
            <w:r w:rsidRPr="00C43864">
              <w:rPr>
                <w:rFonts w:cs="Times New Roman"/>
                <w:sz w:val="24"/>
                <w:szCs w:val="24"/>
              </w:rPr>
              <w:lastRenderedPageBreak/>
              <w:t>control</w:t>
            </w:r>
          </w:p>
        </w:tc>
        <w:tc>
          <w:tcPr>
            <w:tcW w:w="1987" w:type="dxa"/>
            <w:vAlign w:val="center"/>
          </w:tcPr>
          <w:p w14:paraId="265A4D5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1–3 ms target </w:t>
            </w:r>
            <w:r w:rsidRPr="00C43864">
              <w:rPr>
                <w:rFonts w:cs="Times New Roman"/>
                <w:sz w:val="24"/>
                <w:szCs w:val="24"/>
              </w:rPr>
              <w:lastRenderedPageBreak/>
              <w:t>allocation</w:t>
            </w:r>
          </w:p>
        </w:tc>
        <w:tc>
          <w:tcPr>
            <w:tcW w:w="1987" w:type="dxa"/>
            <w:vAlign w:val="center"/>
          </w:tcPr>
          <w:p w14:paraId="7154E96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1–2 ms local </w:t>
            </w:r>
            <w:r w:rsidRPr="00C43864">
              <w:rPr>
                <w:rFonts w:cs="Times New Roman"/>
                <w:sz w:val="24"/>
                <w:szCs w:val="24"/>
              </w:rPr>
              <w:lastRenderedPageBreak/>
              <w:t>transport</w:t>
            </w:r>
          </w:p>
        </w:tc>
        <w:tc>
          <w:tcPr>
            <w:tcW w:w="1987" w:type="dxa"/>
            <w:vAlign w:val="center"/>
          </w:tcPr>
          <w:p w14:paraId="6189F69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1–3 ms </w:t>
            </w:r>
            <w:r w:rsidRPr="00C43864">
              <w:rPr>
                <w:rFonts w:cs="Times New Roman"/>
                <w:sz w:val="24"/>
                <w:szCs w:val="24"/>
              </w:rPr>
              <w:lastRenderedPageBreak/>
              <w:t>application/edge</w:t>
            </w:r>
          </w:p>
        </w:tc>
        <w:tc>
          <w:tcPr>
            <w:tcW w:w="1987" w:type="dxa"/>
            <w:vAlign w:val="center"/>
          </w:tcPr>
          <w:p w14:paraId="04C6F73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Designed total </w:t>
            </w:r>
            <w:r w:rsidRPr="00C43864">
              <w:rPr>
                <w:rFonts w:cs="Times New Roman"/>
                <w:sz w:val="24"/>
                <w:szCs w:val="24"/>
              </w:rPr>
              <w:lastRenderedPageBreak/>
              <w:t>≤10 ms; requires local network and controlled application timing</w:t>
            </w:r>
          </w:p>
        </w:tc>
      </w:tr>
      <w:tr w:rsidR="00240BDD" w:rsidRPr="00C43864" w14:paraId="6130EBF4" w14:textId="77777777">
        <w:trPr>
          <w:jc w:val="center"/>
        </w:trPr>
        <w:tc>
          <w:tcPr>
            <w:tcW w:w="1987" w:type="dxa"/>
            <w:vAlign w:val="center"/>
          </w:tcPr>
          <w:p w14:paraId="08C2D88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Connected transport alert</w:t>
            </w:r>
          </w:p>
        </w:tc>
        <w:tc>
          <w:tcPr>
            <w:tcW w:w="1987" w:type="dxa"/>
            <w:vAlign w:val="center"/>
          </w:tcPr>
          <w:p w14:paraId="35F98E7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2–5 ms radio/access budget</w:t>
            </w:r>
          </w:p>
        </w:tc>
        <w:tc>
          <w:tcPr>
            <w:tcW w:w="1987" w:type="dxa"/>
            <w:vAlign w:val="center"/>
          </w:tcPr>
          <w:p w14:paraId="41DAE90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1–3 ms transport</w:t>
            </w:r>
          </w:p>
        </w:tc>
        <w:tc>
          <w:tcPr>
            <w:tcW w:w="1987" w:type="dxa"/>
            <w:vAlign w:val="center"/>
          </w:tcPr>
          <w:p w14:paraId="062BB40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1–2 ms local UPF/edge</w:t>
            </w:r>
          </w:p>
        </w:tc>
        <w:tc>
          <w:tcPr>
            <w:tcW w:w="1987" w:type="dxa"/>
            <w:vAlign w:val="center"/>
          </w:tcPr>
          <w:p w14:paraId="55A6204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Critical messages need prioritization, overlap and tested handover continuity</w:t>
            </w:r>
          </w:p>
        </w:tc>
      </w:tr>
      <w:tr w:rsidR="00240BDD" w:rsidRPr="00C43864" w14:paraId="4C1EE6A9" w14:textId="77777777">
        <w:trPr>
          <w:jc w:val="center"/>
        </w:trPr>
        <w:tc>
          <w:tcPr>
            <w:tcW w:w="1987" w:type="dxa"/>
            <w:vAlign w:val="center"/>
          </w:tcPr>
          <w:p w14:paraId="2CD8D74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Remote healthcare video</w:t>
            </w:r>
          </w:p>
        </w:tc>
        <w:tc>
          <w:tcPr>
            <w:tcW w:w="1987" w:type="dxa"/>
            <w:vAlign w:val="center"/>
          </w:tcPr>
          <w:p w14:paraId="15C72D9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Best-effort low delay; </w:t>
            </w:r>
            <w:proofErr w:type="gramStart"/>
            <w:r w:rsidRPr="00C43864">
              <w:rPr>
                <w:rFonts w:cs="Times New Roman"/>
                <w:sz w:val="24"/>
                <w:szCs w:val="24"/>
              </w:rPr>
              <w:t>typically</w:t>
            </w:r>
            <w:proofErr w:type="gramEnd"/>
            <w:r w:rsidRPr="00C43864">
              <w:rPr>
                <w:rFonts w:cs="Times New Roman"/>
                <w:sz w:val="24"/>
                <w:szCs w:val="24"/>
              </w:rPr>
              <w:t xml:space="preserve"> tens of ms possible</w:t>
            </w:r>
          </w:p>
        </w:tc>
        <w:tc>
          <w:tcPr>
            <w:tcW w:w="1987" w:type="dxa"/>
            <w:vAlign w:val="center"/>
          </w:tcPr>
          <w:p w14:paraId="152BA95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Depends on route and congestion</w:t>
            </w:r>
          </w:p>
        </w:tc>
        <w:tc>
          <w:tcPr>
            <w:tcW w:w="1987" w:type="dxa"/>
            <w:vAlign w:val="center"/>
          </w:tcPr>
          <w:p w14:paraId="470BE85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Cloud/edge application dependent</w:t>
            </w:r>
          </w:p>
        </w:tc>
        <w:tc>
          <w:tcPr>
            <w:tcW w:w="1987" w:type="dxa"/>
            <w:vAlign w:val="center"/>
          </w:tcPr>
          <w:p w14:paraId="2EDC150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Prioritize availability, jitter and security; not all healthcare needs sub-10 ms</w:t>
            </w:r>
          </w:p>
        </w:tc>
      </w:tr>
      <w:tr w:rsidR="00240BDD" w:rsidRPr="00C43864" w14:paraId="5DF8953F" w14:textId="77777777">
        <w:trPr>
          <w:jc w:val="center"/>
        </w:trPr>
        <w:tc>
          <w:tcPr>
            <w:tcW w:w="1987" w:type="dxa"/>
            <w:vAlign w:val="center"/>
          </w:tcPr>
          <w:p w14:paraId="5883C1A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Massive IoT telemetry</w:t>
            </w:r>
          </w:p>
        </w:tc>
        <w:tc>
          <w:tcPr>
            <w:tcW w:w="1987" w:type="dxa"/>
            <w:vAlign w:val="center"/>
          </w:tcPr>
          <w:p w14:paraId="51A9F35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Latency can be seconds for noncritical reports</w:t>
            </w:r>
          </w:p>
        </w:tc>
        <w:tc>
          <w:tcPr>
            <w:tcW w:w="1987" w:type="dxa"/>
            <w:vAlign w:val="center"/>
          </w:tcPr>
          <w:p w14:paraId="7FE96D9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 bandwidth and scheduled access</w:t>
            </w:r>
          </w:p>
        </w:tc>
        <w:tc>
          <w:tcPr>
            <w:tcW w:w="1987" w:type="dxa"/>
            <w:vAlign w:val="center"/>
          </w:tcPr>
          <w:p w14:paraId="391DB53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Regional application processing</w:t>
            </w:r>
          </w:p>
        </w:tc>
        <w:tc>
          <w:tcPr>
            <w:tcW w:w="1987" w:type="dxa"/>
            <w:vAlign w:val="center"/>
          </w:tcPr>
          <w:p w14:paraId="43BDA89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Optimize battery life and connection scale rather than minimum latency</w:t>
            </w:r>
          </w:p>
        </w:tc>
      </w:tr>
    </w:tbl>
    <w:p w14:paraId="2482722C" w14:textId="77777777" w:rsidR="00240BDD" w:rsidRPr="00C43864" w:rsidRDefault="00240BDD" w:rsidP="00C43864">
      <w:pPr>
        <w:spacing w:line="360" w:lineRule="auto"/>
        <w:rPr>
          <w:rFonts w:cs="Times New Roman"/>
          <w:sz w:val="24"/>
          <w:szCs w:val="24"/>
        </w:rPr>
      </w:pPr>
    </w:p>
    <w:p w14:paraId="3B62C51F" w14:textId="77777777" w:rsidR="00240BDD" w:rsidRPr="00C43864" w:rsidRDefault="00000000" w:rsidP="00C43864">
      <w:pPr>
        <w:spacing w:line="360" w:lineRule="auto"/>
        <w:rPr>
          <w:rFonts w:cs="Times New Roman"/>
          <w:sz w:val="24"/>
          <w:szCs w:val="24"/>
        </w:rPr>
      </w:pPr>
      <w:r w:rsidRPr="00C43864">
        <w:rPr>
          <w:rFonts w:cs="Times New Roman"/>
          <w:sz w:val="24"/>
          <w:szCs w:val="24"/>
        </w:rPr>
        <w:t>Handover performance is validated by measuring interruption time, packet loss and session continuity while a test terminal crosses cell boundaries. Vehicle corridors need overlapping radio coverage, neighbour-cell lists, suitable time-to-trigger/hysteresis settings, robust synchronization and alternate backhaul routes. Handover parameters must be tuned with drive tests; overly aggressive settings cause ping-pong handovers, while overly conservative settings risk radio-link failure.</w:t>
      </w:r>
    </w:p>
    <w:p w14:paraId="57310682"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4.6 Congestion thresholds</w:t>
      </w:r>
    </w:p>
    <w:p w14:paraId="0ED397AD"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Warning: projected busy-hour sector utilization exceeds 70% for sustained intervals.</w:t>
      </w:r>
    </w:p>
    <w:p w14:paraId="666E7148"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Action: utilization exceeds 80% or the 95th-percentile user throughput falls below the service target.</w:t>
      </w:r>
    </w:p>
    <w:p w14:paraId="35FCC228"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Critical: packet loss, latency or call/session blocking breaches the slice-specific service-level objective.</w:t>
      </w:r>
    </w:p>
    <w:p w14:paraId="3CB13AB2"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lastRenderedPageBreak/>
        <w:t>Response sequence: prioritize critical slices, adjust scheduler weights, load-balance users, activate carrier aggregation where supported, enable eligible small cells, and expand capacity if congestion persists.</w:t>
      </w:r>
    </w:p>
    <w:p w14:paraId="7625810C"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5. Erlang B Traffic-Channel Analysis</w:t>
      </w:r>
    </w:p>
    <w:p w14:paraId="17D4A704" w14:textId="77777777" w:rsidR="00240BDD" w:rsidRPr="00C43864" w:rsidRDefault="00000000" w:rsidP="00C43864">
      <w:pPr>
        <w:spacing w:line="360" w:lineRule="auto"/>
        <w:rPr>
          <w:rFonts w:cs="Times New Roman"/>
          <w:sz w:val="24"/>
          <w:szCs w:val="24"/>
        </w:rPr>
      </w:pPr>
      <w:r w:rsidRPr="00C43864">
        <w:rPr>
          <w:rFonts w:cs="Times New Roman"/>
          <w:sz w:val="24"/>
          <w:szCs w:val="24"/>
        </w:rPr>
        <w:t>Erlang B estimates the probability that a new offered call/session is blocked when all traffic channels are occupied and there is no waiting queue. It is a classical loss-system model. For a packet-based 5G network, it is only an equivalent traffic-channel planning approximation; it does not replace radio-resource-block, throughput, QoS or packet-level simulation.</w:t>
      </w:r>
    </w:p>
    <w:p w14:paraId="54180F75" w14:textId="77777777" w:rsidR="00240BDD" w:rsidRPr="00C43864" w:rsidRDefault="00000000" w:rsidP="00C43864">
      <w:pPr>
        <w:spacing w:line="360" w:lineRule="auto"/>
        <w:rPr>
          <w:rFonts w:cs="Times New Roman"/>
          <w:sz w:val="24"/>
          <w:szCs w:val="24"/>
        </w:rPr>
      </w:pPr>
      <w:r w:rsidRPr="00C43864">
        <w:rPr>
          <w:rFonts w:cs="Times New Roman"/>
          <w:sz w:val="24"/>
          <w:szCs w:val="24"/>
        </w:rPr>
        <w:t>Offered traffic: A = N × a, where N is the number of subscribers in the modelled group and a is the mean busy-hour offered traffic per subscriber in Erlangs. Erlang B blocking probability is:</w:t>
      </w:r>
    </w:p>
    <w:p w14:paraId="3A15CE86" w14:textId="77777777" w:rsidR="00240BDD" w:rsidRPr="00C43864" w:rsidRDefault="00000000" w:rsidP="00C43864">
      <w:pPr>
        <w:spacing w:line="360" w:lineRule="auto"/>
        <w:rPr>
          <w:rFonts w:cs="Times New Roman"/>
          <w:sz w:val="24"/>
          <w:szCs w:val="24"/>
        </w:rPr>
      </w:pPr>
      <w:r w:rsidRPr="00C43864">
        <w:rPr>
          <w:rFonts w:cs="Times New Roman"/>
          <w:sz w:val="24"/>
          <w:szCs w:val="24"/>
        </w:rPr>
        <w:t>B(</w:t>
      </w:r>
      <w:proofErr w:type="gramStart"/>
      <w:r w:rsidRPr="00C43864">
        <w:rPr>
          <w:rFonts w:cs="Times New Roman"/>
          <w:sz w:val="24"/>
          <w:szCs w:val="24"/>
        </w:rPr>
        <w:t>A,m</w:t>
      </w:r>
      <w:proofErr w:type="gramEnd"/>
      <w:r w:rsidRPr="00C43864">
        <w:rPr>
          <w:rFonts w:cs="Times New Roman"/>
          <w:sz w:val="24"/>
          <w:szCs w:val="24"/>
        </w:rPr>
        <w:t xml:space="preserve">) = [A^m / m!] / </w:t>
      </w:r>
      <w:proofErr w:type="gramStart"/>
      <w:r w:rsidRPr="00C43864">
        <w:rPr>
          <w:rFonts w:cs="Times New Roman"/>
          <w:sz w:val="24"/>
          <w:szCs w:val="24"/>
        </w:rPr>
        <w:t>Σ(</w:t>
      </w:r>
      <w:proofErr w:type="gramEnd"/>
      <w:r w:rsidRPr="00C43864">
        <w:rPr>
          <w:rFonts w:cs="Times New Roman"/>
          <w:sz w:val="24"/>
          <w:szCs w:val="24"/>
        </w:rPr>
        <w:t xml:space="preserve">k=0 to </w:t>
      </w:r>
      <w:proofErr w:type="gramStart"/>
      <w:r w:rsidRPr="00C43864">
        <w:rPr>
          <w:rFonts w:cs="Times New Roman"/>
          <w:sz w:val="24"/>
          <w:szCs w:val="24"/>
        </w:rPr>
        <w:t>m)[</w:t>
      </w:r>
      <w:proofErr w:type="gramEnd"/>
      <w:r w:rsidRPr="00C43864">
        <w:rPr>
          <w:rFonts w:cs="Times New Roman"/>
          <w:sz w:val="24"/>
          <w:szCs w:val="24"/>
        </w:rPr>
        <w:t>A^k / k!], where A is offered traffic and m is the number of equivalent traffic channels.</w:t>
      </w:r>
    </w:p>
    <w:p w14:paraId="71A0CE68"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For numerical stability, the recurrence </w:t>
      </w:r>
      <w:proofErr w:type="gramStart"/>
      <w:r w:rsidRPr="00C43864">
        <w:rPr>
          <w:rFonts w:cs="Times New Roman"/>
          <w:sz w:val="24"/>
          <w:szCs w:val="24"/>
        </w:rPr>
        <w:t>B(0)=</w:t>
      </w:r>
      <w:proofErr w:type="gramEnd"/>
      <w:r w:rsidRPr="00C43864">
        <w:rPr>
          <w:rFonts w:cs="Times New Roman"/>
          <w:sz w:val="24"/>
          <w:szCs w:val="24"/>
        </w:rPr>
        <w:t>1 and B(n)=A·B(n−1)</w:t>
      </w:r>
      <w:proofErr w:type="gramStart"/>
      <w:r w:rsidRPr="00C43864">
        <w:rPr>
          <w:rFonts w:cs="Times New Roman"/>
          <w:sz w:val="24"/>
          <w:szCs w:val="24"/>
        </w:rPr>
        <w:t>/(</w:t>
      </w:r>
      <w:proofErr w:type="gramEnd"/>
      <w:r w:rsidRPr="00C43864">
        <w:rPr>
          <w:rFonts w:cs="Times New Roman"/>
          <w:sz w:val="24"/>
          <w:szCs w:val="24"/>
        </w:rPr>
        <w:t>n + A·B(n−1)) is used. The required channel count is the smallest m for which B(</w:t>
      </w:r>
      <w:proofErr w:type="gramStart"/>
      <w:r w:rsidRPr="00C43864">
        <w:rPr>
          <w:rFonts w:cs="Times New Roman"/>
          <w:sz w:val="24"/>
          <w:szCs w:val="24"/>
        </w:rPr>
        <w:t>A,m</w:t>
      </w:r>
      <w:proofErr w:type="gramEnd"/>
      <w:r w:rsidRPr="00C43864">
        <w:rPr>
          <w:rFonts w:cs="Times New Roman"/>
          <w:sz w:val="24"/>
          <w:szCs w:val="24"/>
        </w:rPr>
        <w:t>) ≤ 0.02.</w:t>
      </w:r>
    </w:p>
    <w:tbl>
      <w:tblPr>
        <w:tblStyle w:val="TableGrid"/>
        <w:tblW w:w="0" w:type="auto"/>
        <w:jc w:val="center"/>
        <w:tblLook w:val="04A0" w:firstRow="1" w:lastRow="0" w:firstColumn="1" w:lastColumn="0" w:noHBand="0" w:noVBand="1"/>
      </w:tblPr>
      <w:tblGrid>
        <w:gridCol w:w="3309"/>
        <w:gridCol w:w="3308"/>
        <w:gridCol w:w="3309"/>
      </w:tblGrid>
      <w:tr w:rsidR="00240BDD" w:rsidRPr="00C43864" w14:paraId="264222C5" w14:textId="77777777">
        <w:trPr>
          <w:jc w:val="center"/>
        </w:trPr>
        <w:tc>
          <w:tcPr>
            <w:tcW w:w="3312" w:type="dxa"/>
            <w:shd w:val="clear" w:color="auto" w:fill="D9EAF7"/>
            <w:vAlign w:val="center"/>
          </w:tcPr>
          <w:p w14:paraId="411B62EB"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Input / result</w:t>
            </w:r>
          </w:p>
        </w:tc>
        <w:tc>
          <w:tcPr>
            <w:tcW w:w="3312" w:type="dxa"/>
            <w:shd w:val="clear" w:color="auto" w:fill="D9EAF7"/>
            <w:vAlign w:val="center"/>
          </w:tcPr>
          <w:p w14:paraId="52AEA404"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Value</w:t>
            </w:r>
          </w:p>
        </w:tc>
        <w:tc>
          <w:tcPr>
            <w:tcW w:w="3312" w:type="dxa"/>
            <w:shd w:val="clear" w:color="auto" w:fill="D9EAF7"/>
            <w:vAlign w:val="center"/>
          </w:tcPr>
          <w:p w14:paraId="10D714B5"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Explanation</w:t>
            </w:r>
          </w:p>
        </w:tc>
      </w:tr>
      <w:tr w:rsidR="00240BDD" w:rsidRPr="00C43864" w14:paraId="7D4391D6" w14:textId="77777777">
        <w:trPr>
          <w:jc w:val="center"/>
        </w:trPr>
        <w:tc>
          <w:tcPr>
            <w:tcW w:w="3312" w:type="dxa"/>
            <w:vAlign w:val="center"/>
          </w:tcPr>
          <w:p w14:paraId="523CB03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Subscribers in illustrative traffic group (N)</w:t>
            </w:r>
          </w:p>
        </w:tc>
        <w:tc>
          <w:tcPr>
            <w:tcW w:w="3312" w:type="dxa"/>
            <w:vAlign w:val="center"/>
          </w:tcPr>
          <w:p w14:paraId="7D400C5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5,000</w:t>
            </w:r>
          </w:p>
        </w:tc>
        <w:tc>
          <w:tcPr>
            <w:tcW w:w="3312" w:type="dxa"/>
            <w:vAlign w:val="center"/>
          </w:tcPr>
          <w:p w14:paraId="1D2706F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Assumed; actual supplied count is not present in assignment brief.</w:t>
            </w:r>
          </w:p>
        </w:tc>
      </w:tr>
      <w:tr w:rsidR="00240BDD" w:rsidRPr="00C43864" w14:paraId="0B68E7EB" w14:textId="77777777">
        <w:trPr>
          <w:jc w:val="center"/>
        </w:trPr>
        <w:tc>
          <w:tcPr>
            <w:tcW w:w="3312" w:type="dxa"/>
            <w:vAlign w:val="center"/>
          </w:tcPr>
          <w:p w14:paraId="243EC9F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Busy-hour traffic per subscriber (a)</w:t>
            </w:r>
          </w:p>
        </w:tc>
        <w:tc>
          <w:tcPr>
            <w:tcW w:w="3312" w:type="dxa"/>
            <w:vAlign w:val="center"/>
          </w:tcPr>
          <w:p w14:paraId="17D6A8B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0.02 Erlang</w:t>
            </w:r>
          </w:p>
        </w:tc>
        <w:tc>
          <w:tcPr>
            <w:tcW w:w="3312" w:type="dxa"/>
            <w:vAlign w:val="center"/>
          </w:tcPr>
          <w:p w14:paraId="2113B08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Assumed equivalent traffic per subscriber.</w:t>
            </w:r>
          </w:p>
        </w:tc>
      </w:tr>
      <w:tr w:rsidR="00240BDD" w:rsidRPr="00C43864" w14:paraId="7B2C5142" w14:textId="77777777">
        <w:trPr>
          <w:jc w:val="center"/>
        </w:trPr>
        <w:tc>
          <w:tcPr>
            <w:tcW w:w="3312" w:type="dxa"/>
            <w:vAlign w:val="center"/>
          </w:tcPr>
          <w:p w14:paraId="5295DBE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Offered traffic A = N × a</w:t>
            </w:r>
          </w:p>
        </w:tc>
        <w:tc>
          <w:tcPr>
            <w:tcW w:w="3312" w:type="dxa"/>
            <w:vAlign w:val="center"/>
          </w:tcPr>
          <w:p w14:paraId="5A228D0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 Erlangs</w:t>
            </w:r>
          </w:p>
        </w:tc>
        <w:tc>
          <w:tcPr>
            <w:tcW w:w="3312" w:type="dxa"/>
            <w:vAlign w:val="center"/>
          </w:tcPr>
          <w:p w14:paraId="7A892A6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5,000 × 0.02.</w:t>
            </w:r>
          </w:p>
        </w:tc>
      </w:tr>
      <w:tr w:rsidR="00240BDD" w:rsidRPr="00C43864" w14:paraId="3C43FFF1" w14:textId="77777777">
        <w:trPr>
          <w:jc w:val="center"/>
        </w:trPr>
        <w:tc>
          <w:tcPr>
            <w:tcW w:w="3312" w:type="dxa"/>
            <w:vAlign w:val="center"/>
          </w:tcPr>
          <w:p w14:paraId="6E3658D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Target blocking probability</w:t>
            </w:r>
          </w:p>
        </w:tc>
        <w:tc>
          <w:tcPr>
            <w:tcW w:w="3312" w:type="dxa"/>
            <w:vAlign w:val="center"/>
          </w:tcPr>
          <w:p w14:paraId="35FA564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 (0.02)</w:t>
            </w:r>
          </w:p>
        </w:tc>
        <w:tc>
          <w:tcPr>
            <w:tcW w:w="3312" w:type="dxa"/>
            <w:vAlign w:val="center"/>
          </w:tcPr>
          <w:p w14:paraId="5FCC50C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Required by assignment.</w:t>
            </w:r>
          </w:p>
        </w:tc>
      </w:tr>
      <w:tr w:rsidR="00240BDD" w:rsidRPr="00C43864" w14:paraId="482BF166" w14:textId="77777777">
        <w:trPr>
          <w:jc w:val="center"/>
        </w:trPr>
        <w:tc>
          <w:tcPr>
            <w:tcW w:w="3312" w:type="dxa"/>
            <w:vAlign w:val="center"/>
          </w:tcPr>
          <w:p w14:paraId="17BEA0F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Minimum equivalent channels</w:t>
            </w:r>
          </w:p>
        </w:tc>
        <w:tc>
          <w:tcPr>
            <w:tcW w:w="3312" w:type="dxa"/>
            <w:vAlign w:val="center"/>
          </w:tcPr>
          <w:p w14:paraId="0732B4A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113</w:t>
            </w:r>
          </w:p>
        </w:tc>
        <w:tc>
          <w:tcPr>
            <w:tcW w:w="3312" w:type="dxa"/>
            <w:vAlign w:val="center"/>
          </w:tcPr>
          <w:p w14:paraId="3F47FFC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Smallest channel count meeting target for 100 Erlangs.</w:t>
            </w:r>
          </w:p>
        </w:tc>
      </w:tr>
      <w:tr w:rsidR="00240BDD" w:rsidRPr="00C43864" w14:paraId="219B24D8" w14:textId="77777777">
        <w:trPr>
          <w:jc w:val="center"/>
        </w:trPr>
        <w:tc>
          <w:tcPr>
            <w:tcW w:w="3312" w:type="dxa"/>
            <w:vAlign w:val="center"/>
          </w:tcPr>
          <w:p w14:paraId="58D89EC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Blocking at calculated channel count</w:t>
            </w:r>
          </w:p>
        </w:tc>
        <w:tc>
          <w:tcPr>
            <w:tcW w:w="3312" w:type="dxa"/>
            <w:vAlign w:val="center"/>
          </w:tcPr>
          <w:p w14:paraId="0951535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1.833%</w:t>
            </w:r>
          </w:p>
        </w:tc>
        <w:tc>
          <w:tcPr>
            <w:tcW w:w="3312" w:type="dxa"/>
            <w:vAlign w:val="center"/>
          </w:tcPr>
          <w:p w14:paraId="0FF7699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Erlang B recurrence result.</w:t>
            </w:r>
          </w:p>
        </w:tc>
      </w:tr>
      <w:tr w:rsidR="00240BDD" w:rsidRPr="00C43864" w14:paraId="478843CC" w14:textId="77777777">
        <w:trPr>
          <w:jc w:val="center"/>
        </w:trPr>
        <w:tc>
          <w:tcPr>
            <w:tcW w:w="3312" w:type="dxa"/>
            <w:vAlign w:val="center"/>
          </w:tcPr>
          <w:p w14:paraId="57E13B8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If 120 channels are available</w:t>
            </w:r>
          </w:p>
        </w:tc>
        <w:tc>
          <w:tcPr>
            <w:tcW w:w="3312" w:type="dxa"/>
            <w:vAlign w:val="center"/>
          </w:tcPr>
          <w:p w14:paraId="76B5615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Maximum offered traffic ≈ 107.42 Erlangs</w:t>
            </w:r>
          </w:p>
        </w:tc>
        <w:tc>
          <w:tcPr>
            <w:tcW w:w="3312" w:type="dxa"/>
            <w:vAlign w:val="center"/>
          </w:tcPr>
          <w:p w14:paraId="2764226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Numerically solved for B(A,120) = 0.02.</w:t>
            </w:r>
          </w:p>
        </w:tc>
      </w:tr>
    </w:tbl>
    <w:p w14:paraId="519DD169" w14:textId="77777777" w:rsidR="00240BDD" w:rsidRPr="00C43864" w:rsidRDefault="00240BDD" w:rsidP="00C43864">
      <w:pPr>
        <w:spacing w:line="360" w:lineRule="auto"/>
        <w:rPr>
          <w:rFonts w:cs="Times New Roman"/>
          <w:sz w:val="24"/>
          <w:szCs w:val="24"/>
        </w:rPr>
      </w:pPr>
    </w:p>
    <w:p w14:paraId="2E777CFE"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Interpretation: the illustrative group offers 100 Erlangs and needs the calculated minimum number of equivalent channels to keep blocking at or below 2%. If only 120 channels are available, the model can </w:t>
      </w:r>
      <w:r w:rsidRPr="00C43864">
        <w:rPr>
          <w:rFonts w:cs="Times New Roman"/>
          <w:sz w:val="24"/>
          <w:szCs w:val="24"/>
        </w:rPr>
        <w:lastRenderedPageBreak/>
        <w:t>support the computed maximum offered traffic at the same blocking target. These are equivalent traffic channels, not a direct conversion into 5G NR physical resource blocks.</w:t>
      </w:r>
    </w:p>
    <w:p w14:paraId="3902D991" w14:textId="77777777" w:rsidR="00240BDD" w:rsidRPr="00C43864" w:rsidRDefault="00000000" w:rsidP="00C43864">
      <w:pPr>
        <w:spacing w:line="360" w:lineRule="auto"/>
        <w:rPr>
          <w:rFonts w:cs="Times New Roman"/>
          <w:sz w:val="24"/>
          <w:szCs w:val="24"/>
        </w:rPr>
      </w:pPr>
      <w:r w:rsidRPr="00C43864">
        <w:rPr>
          <w:rFonts w:cs="Times New Roman"/>
          <w:sz w:val="24"/>
          <w:szCs w:val="24"/>
        </w:rPr>
        <w:t>Spectrum overhead statement: the idealized channel-count comparison ignores guard bands, FDD duplex separation, control/reference signals, pilot overhead, unusable edge resources and other practical overheads. In a real design, these reduce usable resources and must be incorporated in a radio-resource model.</w:t>
      </w:r>
    </w:p>
    <w:p w14:paraId="3D61597B"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5.1 Sensitivity and limitation</w:t>
      </w:r>
    </w:p>
    <w:p w14:paraId="5AB29A4D" w14:textId="77777777" w:rsidR="00240BDD" w:rsidRPr="00C43864" w:rsidRDefault="00000000" w:rsidP="00C43864">
      <w:pPr>
        <w:spacing w:line="360" w:lineRule="auto"/>
        <w:rPr>
          <w:rFonts w:cs="Times New Roman"/>
          <w:sz w:val="24"/>
          <w:szCs w:val="24"/>
        </w:rPr>
      </w:pPr>
      <w:r w:rsidRPr="00C43864">
        <w:rPr>
          <w:rFonts w:cs="Times New Roman"/>
          <w:sz w:val="24"/>
          <w:szCs w:val="24"/>
        </w:rPr>
        <w:t>Blocking rises rapidly as offered traffic approaches channel capacity. Capacity planning should include busy-hour growth, seasonal events, emergencies and forecast uncertainty. Erlang B assumes statistically independent arrivals and a defined holding-time model; packet traffic, bursty IoT and priority/pre-emption behaviour require richer models. Separate Erlang groups should be modelled for different service classes if their arrival and holding-time characteristics differ.</w:t>
      </w:r>
    </w:p>
    <w:p w14:paraId="10D654EA"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6. Stage 4 – Architecture Evaluation and Selection</w:t>
      </w:r>
    </w:p>
    <w:p w14:paraId="09845FCA"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6.1 Alternative A: macro-focused network</w:t>
      </w:r>
    </w:p>
    <w:p w14:paraId="365B8680" w14:textId="77777777" w:rsidR="00240BDD" w:rsidRPr="00C43864" w:rsidRDefault="00000000" w:rsidP="00C43864">
      <w:pPr>
        <w:spacing w:line="360" w:lineRule="auto"/>
        <w:rPr>
          <w:rFonts w:cs="Times New Roman"/>
          <w:sz w:val="24"/>
          <w:szCs w:val="24"/>
        </w:rPr>
      </w:pPr>
      <w:r w:rsidRPr="00C43864">
        <w:rPr>
          <w:rFonts w:cs="Times New Roman"/>
          <w:sz w:val="24"/>
          <w:szCs w:val="24"/>
        </w:rPr>
        <w:t>Alternative A uses sub-1 GHz and mid-band macro cells as the main coverage and capacity layers, with limited small-cell deployment. It has simpler site management and can be cost-effective for broad rural reach. However, dense cities, transport hubs and industrial campuses may experience congestion unless more spectrum or site capacity is added.</w:t>
      </w:r>
    </w:p>
    <w:p w14:paraId="7043A63A"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6.2 Alternative B: heterogeneous network</w:t>
      </w:r>
    </w:p>
    <w:p w14:paraId="6E4CF514" w14:textId="77777777" w:rsidR="00240BDD" w:rsidRPr="00C43864" w:rsidRDefault="00000000" w:rsidP="00C43864">
      <w:pPr>
        <w:spacing w:line="360" w:lineRule="auto"/>
        <w:rPr>
          <w:rFonts w:cs="Times New Roman"/>
          <w:sz w:val="24"/>
          <w:szCs w:val="24"/>
        </w:rPr>
      </w:pPr>
      <w:r w:rsidRPr="00C43864">
        <w:rPr>
          <w:rFonts w:cs="Times New Roman"/>
          <w:sz w:val="24"/>
          <w:szCs w:val="24"/>
        </w:rPr>
        <w:t>Alternative B combines low-band macro coverage, mid-band macro/micro capacity, selective mmWave hotspots, fibre/microwave backhaul, edge computing and logical network slices. It has greater deployment complexity and cost, but it better matches the different needs of six states. Small cells are installed where measured traffic justifies them, not uniformly.</w:t>
      </w:r>
    </w:p>
    <w:p w14:paraId="196303C4"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6.3 Weighted decision matrix</w:t>
      </w:r>
    </w:p>
    <w:tbl>
      <w:tblPr>
        <w:tblStyle w:val="TableGrid"/>
        <w:tblW w:w="0" w:type="auto"/>
        <w:jc w:val="center"/>
        <w:tblLook w:val="04A0" w:firstRow="1" w:lastRow="0" w:firstColumn="1" w:lastColumn="0" w:noHBand="0" w:noVBand="1"/>
      </w:tblPr>
      <w:tblGrid>
        <w:gridCol w:w="2217"/>
        <w:gridCol w:w="1545"/>
        <w:gridCol w:w="1510"/>
        <w:gridCol w:w="1510"/>
        <w:gridCol w:w="1572"/>
        <w:gridCol w:w="1572"/>
      </w:tblGrid>
      <w:tr w:rsidR="00240BDD" w:rsidRPr="00C43864" w14:paraId="7134A62C" w14:textId="77777777">
        <w:trPr>
          <w:jc w:val="center"/>
        </w:trPr>
        <w:tc>
          <w:tcPr>
            <w:tcW w:w="1656" w:type="dxa"/>
            <w:shd w:val="clear" w:color="auto" w:fill="D9EAF7"/>
            <w:vAlign w:val="center"/>
          </w:tcPr>
          <w:p w14:paraId="069447A7"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Criterion</w:t>
            </w:r>
          </w:p>
        </w:tc>
        <w:tc>
          <w:tcPr>
            <w:tcW w:w="1656" w:type="dxa"/>
            <w:shd w:val="clear" w:color="auto" w:fill="D9EAF7"/>
            <w:vAlign w:val="center"/>
          </w:tcPr>
          <w:p w14:paraId="018D9628"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Weight</w:t>
            </w:r>
          </w:p>
        </w:tc>
        <w:tc>
          <w:tcPr>
            <w:tcW w:w="1656" w:type="dxa"/>
            <w:shd w:val="clear" w:color="auto" w:fill="D9EAF7"/>
            <w:vAlign w:val="center"/>
          </w:tcPr>
          <w:p w14:paraId="2FC630C2"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 score (1–5)</w:t>
            </w:r>
          </w:p>
        </w:tc>
        <w:tc>
          <w:tcPr>
            <w:tcW w:w="1656" w:type="dxa"/>
            <w:shd w:val="clear" w:color="auto" w:fill="D9EAF7"/>
            <w:vAlign w:val="center"/>
          </w:tcPr>
          <w:p w14:paraId="61494D1B"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B score (1–5)</w:t>
            </w:r>
          </w:p>
        </w:tc>
        <w:tc>
          <w:tcPr>
            <w:tcW w:w="1656" w:type="dxa"/>
            <w:shd w:val="clear" w:color="auto" w:fill="D9EAF7"/>
            <w:vAlign w:val="center"/>
          </w:tcPr>
          <w:p w14:paraId="541FE6D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 weighted</w:t>
            </w:r>
          </w:p>
        </w:tc>
        <w:tc>
          <w:tcPr>
            <w:tcW w:w="1656" w:type="dxa"/>
            <w:shd w:val="clear" w:color="auto" w:fill="D9EAF7"/>
            <w:vAlign w:val="center"/>
          </w:tcPr>
          <w:p w14:paraId="66E819DA"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B weighted</w:t>
            </w:r>
          </w:p>
        </w:tc>
      </w:tr>
      <w:tr w:rsidR="00240BDD" w:rsidRPr="00C43864" w14:paraId="5ACDA517" w14:textId="77777777">
        <w:trPr>
          <w:jc w:val="center"/>
        </w:trPr>
        <w:tc>
          <w:tcPr>
            <w:tcW w:w="1656" w:type="dxa"/>
            <w:vAlign w:val="center"/>
          </w:tcPr>
          <w:p w14:paraId="0BD7C7F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Coverage</w:t>
            </w:r>
          </w:p>
        </w:tc>
        <w:tc>
          <w:tcPr>
            <w:tcW w:w="1656" w:type="dxa"/>
            <w:vAlign w:val="center"/>
          </w:tcPr>
          <w:p w14:paraId="7020253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0.18</w:t>
            </w:r>
          </w:p>
        </w:tc>
        <w:tc>
          <w:tcPr>
            <w:tcW w:w="1656" w:type="dxa"/>
            <w:vAlign w:val="center"/>
          </w:tcPr>
          <w:p w14:paraId="1C4106A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w:t>
            </w:r>
          </w:p>
        </w:tc>
        <w:tc>
          <w:tcPr>
            <w:tcW w:w="1656" w:type="dxa"/>
            <w:vAlign w:val="center"/>
          </w:tcPr>
          <w:p w14:paraId="05A7F8F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w:t>
            </w:r>
          </w:p>
        </w:tc>
        <w:tc>
          <w:tcPr>
            <w:tcW w:w="1656" w:type="dxa"/>
            <w:vAlign w:val="center"/>
          </w:tcPr>
          <w:p w14:paraId="180741E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0.90</w:t>
            </w:r>
          </w:p>
        </w:tc>
        <w:tc>
          <w:tcPr>
            <w:tcW w:w="1656" w:type="dxa"/>
            <w:vAlign w:val="center"/>
          </w:tcPr>
          <w:p w14:paraId="6978CFE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0.72</w:t>
            </w:r>
          </w:p>
        </w:tc>
      </w:tr>
      <w:tr w:rsidR="00240BDD" w:rsidRPr="00C43864" w14:paraId="03FFD56A" w14:textId="77777777">
        <w:trPr>
          <w:jc w:val="center"/>
        </w:trPr>
        <w:tc>
          <w:tcPr>
            <w:tcW w:w="1656" w:type="dxa"/>
            <w:vAlign w:val="center"/>
          </w:tcPr>
          <w:p w14:paraId="1E43561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Capacity</w:t>
            </w:r>
          </w:p>
        </w:tc>
        <w:tc>
          <w:tcPr>
            <w:tcW w:w="1656" w:type="dxa"/>
            <w:vAlign w:val="center"/>
          </w:tcPr>
          <w:p w14:paraId="1849CDE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0.18</w:t>
            </w:r>
          </w:p>
        </w:tc>
        <w:tc>
          <w:tcPr>
            <w:tcW w:w="1656" w:type="dxa"/>
            <w:vAlign w:val="center"/>
          </w:tcPr>
          <w:p w14:paraId="626CD6D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w:t>
            </w:r>
          </w:p>
        </w:tc>
        <w:tc>
          <w:tcPr>
            <w:tcW w:w="1656" w:type="dxa"/>
            <w:vAlign w:val="center"/>
          </w:tcPr>
          <w:p w14:paraId="047A80E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w:t>
            </w:r>
          </w:p>
        </w:tc>
        <w:tc>
          <w:tcPr>
            <w:tcW w:w="1656" w:type="dxa"/>
            <w:vAlign w:val="center"/>
          </w:tcPr>
          <w:p w14:paraId="6AAFB10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0.54</w:t>
            </w:r>
          </w:p>
        </w:tc>
        <w:tc>
          <w:tcPr>
            <w:tcW w:w="1656" w:type="dxa"/>
            <w:vAlign w:val="center"/>
          </w:tcPr>
          <w:p w14:paraId="7127193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0.90</w:t>
            </w:r>
          </w:p>
        </w:tc>
      </w:tr>
      <w:tr w:rsidR="00240BDD" w:rsidRPr="00C43864" w14:paraId="071B118E" w14:textId="77777777">
        <w:trPr>
          <w:jc w:val="center"/>
        </w:trPr>
        <w:tc>
          <w:tcPr>
            <w:tcW w:w="1656" w:type="dxa"/>
            <w:vAlign w:val="center"/>
          </w:tcPr>
          <w:p w14:paraId="08AAE30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Latency support</w:t>
            </w:r>
          </w:p>
        </w:tc>
        <w:tc>
          <w:tcPr>
            <w:tcW w:w="1656" w:type="dxa"/>
            <w:vAlign w:val="center"/>
          </w:tcPr>
          <w:p w14:paraId="1ED5559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0.14</w:t>
            </w:r>
          </w:p>
        </w:tc>
        <w:tc>
          <w:tcPr>
            <w:tcW w:w="1656" w:type="dxa"/>
            <w:vAlign w:val="center"/>
          </w:tcPr>
          <w:p w14:paraId="79427DD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w:t>
            </w:r>
          </w:p>
        </w:tc>
        <w:tc>
          <w:tcPr>
            <w:tcW w:w="1656" w:type="dxa"/>
            <w:vAlign w:val="center"/>
          </w:tcPr>
          <w:p w14:paraId="06E1989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w:t>
            </w:r>
          </w:p>
        </w:tc>
        <w:tc>
          <w:tcPr>
            <w:tcW w:w="1656" w:type="dxa"/>
            <w:vAlign w:val="center"/>
          </w:tcPr>
          <w:p w14:paraId="17A78E6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0.42</w:t>
            </w:r>
          </w:p>
        </w:tc>
        <w:tc>
          <w:tcPr>
            <w:tcW w:w="1656" w:type="dxa"/>
            <w:vAlign w:val="center"/>
          </w:tcPr>
          <w:p w14:paraId="120FE6E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0.70</w:t>
            </w:r>
          </w:p>
        </w:tc>
      </w:tr>
      <w:tr w:rsidR="00240BDD" w:rsidRPr="00C43864" w14:paraId="56B1AF91" w14:textId="77777777">
        <w:trPr>
          <w:jc w:val="center"/>
        </w:trPr>
        <w:tc>
          <w:tcPr>
            <w:tcW w:w="1656" w:type="dxa"/>
            <w:vAlign w:val="center"/>
          </w:tcPr>
          <w:p w14:paraId="347D26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Reliability/resilience</w:t>
            </w:r>
          </w:p>
        </w:tc>
        <w:tc>
          <w:tcPr>
            <w:tcW w:w="1656" w:type="dxa"/>
            <w:vAlign w:val="center"/>
          </w:tcPr>
          <w:p w14:paraId="404BA16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0.15</w:t>
            </w:r>
          </w:p>
        </w:tc>
        <w:tc>
          <w:tcPr>
            <w:tcW w:w="1656" w:type="dxa"/>
            <w:vAlign w:val="center"/>
          </w:tcPr>
          <w:p w14:paraId="307C9D1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w:t>
            </w:r>
          </w:p>
        </w:tc>
        <w:tc>
          <w:tcPr>
            <w:tcW w:w="1656" w:type="dxa"/>
            <w:vAlign w:val="center"/>
          </w:tcPr>
          <w:p w14:paraId="37A2D0D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w:t>
            </w:r>
          </w:p>
        </w:tc>
        <w:tc>
          <w:tcPr>
            <w:tcW w:w="1656" w:type="dxa"/>
            <w:vAlign w:val="center"/>
          </w:tcPr>
          <w:p w14:paraId="7C33D53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0.45</w:t>
            </w:r>
          </w:p>
        </w:tc>
        <w:tc>
          <w:tcPr>
            <w:tcW w:w="1656" w:type="dxa"/>
            <w:vAlign w:val="center"/>
          </w:tcPr>
          <w:p w14:paraId="6B87E03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0.75</w:t>
            </w:r>
          </w:p>
        </w:tc>
      </w:tr>
      <w:tr w:rsidR="00240BDD" w:rsidRPr="00C43864" w14:paraId="735DCD50" w14:textId="77777777">
        <w:trPr>
          <w:jc w:val="center"/>
        </w:trPr>
        <w:tc>
          <w:tcPr>
            <w:tcW w:w="1656" w:type="dxa"/>
            <w:vAlign w:val="center"/>
          </w:tcPr>
          <w:p w14:paraId="79A924D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Scalability</w:t>
            </w:r>
          </w:p>
        </w:tc>
        <w:tc>
          <w:tcPr>
            <w:tcW w:w="1656" w:type="dxa"/>
            <w:vAlign w:val="center"/>
          </w:tcPr>
          <w:p w14:paraId="68F6494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0.10</w:t>
            </w:r>
          </w:p>
        </w:tc>
        <w:tc>
          <w:tcPr>
            <w:tcW w:w="1656" w:type="dxa"/>
            <w:vAlign w:val="center"/>
          </w:tcPr>
          <w:p w14:paraId="4B66239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w:t>
            </w:r>
          </w:p>
        </w:tc>
        <w:tc>
          <w:tcPr>
            <w:tcW w:w="1656" w:type="dxa"/>
            <w:vAlign w:val="center"/>
          </w:tcPr>
          <w:p w14:paraId="2870999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w:t>
            </w:r>
          </w:p>
        </w:tc>
        <w:tc>
          <w:tcPr>
            <w:tcW w:w="1656" w:type="dxa"/>
            <w:vAlign w:val="center"/>
          </w:tcPr>
          <w:p w14:paraId="02C237F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0.30</w:t>
            </w:r>
          </w:p>
        </w:tc>
        <w:tc>
          <w:tcPr>
            <w:tcW w:w="1656" w:type="dxa"/>
            <w:vAlign w:val="center"/>
          </w:tcPr>
          <w:p w14:paraId="6FE9B1F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0.50</w:t>
            </w:r>
          </w:p>
        </w:tc>
      </w:tr>
      <w:tr w:rsidR="00240BDD" w:rsidRPr="00C43864" w14:paraId="00ECB843" w14:textId="77777777">
        <w:trPr>
          <w:jc w:val="center"/>
        </w:trPr>
        <w:tc>
          <w:tcPr>
            <w:tcW w:w="1656" w:type="dxa"/>
            <w:vAlign w:val="center"/>
          </w:tcPr>
          <w:p w14:paraId="709A72D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Energy efficiency</w:t>
            </w:r>
          </w:p>
        </w:tc>
        <w:tc>
          <w:tcPr>
            <w:tcW w:w="1656" w:type="dxa"/>
            <w:vAlign w:val="center"/>
          </w:tcPr>
          <w:p w14:paraId="7033A66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0.08</w:t>
            </w:r>
          </w:p>
        </w:tc>
        <w:tc>
          <w:tcPr>
            <w:tcW w:w="1656" w:type="dxa"/>
            <w:vAlign w:val="center"/>
          </w:tcPr>
          <w:p w14:paraId="0883753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w:t>
            </w:r>
          </w:p>
        </w:tc>
        <w:tc>
          <w:tcPr>
            <w:tcW w:w="1656" w:type="dxa"/>
            <w:vAlign w:val="center"/>
          </w:tcPr>
          <w:p w14:paraId="36358B7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w:t>
            </w:r>
          </w:p>
        </w:tc>
        <w:tc>
          <w:tcPr>
            <w:tcW w:w="1656" w:type="dxa"/>
            <w:vAlign w:val="center"/>
          </w:tcPr>
          <w:p w14:paraId="3F331F3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0.32</w:t>
            </w:r>
          </w:p>
        </w:tc>
        <w:tc>
          <w:tcPr>
            <w:tcW w:w="1656" w:type="dxa"/>
            <w:vAlign w:val="center"/>
          </w:tcPr>
          <w:p w14:paraId="2740EDB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0.24</w:t>
            </w:r>
          </w:p>
        </w:tc>
      </w:tr>
      <w:tr w:rsidR="00240BDD" w:rsidRPr="00C43864" w14:paraId="75C0C6CA" w14:textId="77777777">
        <w:trPr>
          <w:jc w:val="center"/>
        </w:trPr>
        <w:tc>
          <w:tcPr>
            <w:tcW w:w="1656" w:type="dxa"/>
            <w:vAlign w:val="center"/>
          </w:tcPr>
          <w:p w14:paraId="1465A4F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Cost affordability</w:t>
            </w:r>
          </w:p>
        </w:tc>
        <w:tc>
          <w:tcPr>
            <w:tcW w:w="1656" w:type="dxa"/>
            <w:vAlign w:val="center"/>
          </w:tcPr>
          <w:p w14:paraId="1A75EA7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0.10</w:t>
            </w:r>
          </w:p>
        </w:tc>
        <w:tc>
          <w:tcPr>
            <w:tcW w:w="1656" w:type="dxa"/>
            <w:vAlign w:val="center"/>
          </w:tcPr>
          <w:p w14:paraId="38B1146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w:t>
            </w:r>
          </w:p>
        </w:tc>
        <w:tc>
          <w:tcPr>
            <w:tcW w:w="1656" w:type="dxa"/>
            <w:vAlign w:val="center"/>
          </w:tcPr>
          <w:p w14:paraId="7C67F5C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w:t>
            </w:r>
          </w:p>
        </w:tc>
        <w:tc>
          <w:tcPr>
            <w:tcW w:w="1656" w:type="dxa"/>
            <w:vAlign w:val="center"/>
          </w:tcPr>
          <w:p w14:paraId="3B4D240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0.50</w:t>
            </w:r>
          </w:p>
        </w:tc>
        <w:tc>
          <w:tcPr>
            <w:tcW w:w="1656" w:type="dxa"/>
            <w:vAlign w:val="center"/>
          </w:tcPr>
          <w:p w14:paraId="196C95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0.30</w:t>
            </w:r>
          </w:p>
        </w:tc>
      </w:tr>
      <w:tr w:rsidR="00240BDD" w:rsidRPr="00C43864" w14:paraId="50A68AA0" w14:textId="77777777">
        <w:trPr>
          <w:jc w:val="center"/>
        </w:trPr>
        <w:tc>
          <w:tcPr>
            <w:tcW w:w="1656" w:type="dxa"/>
            <w:vAlign w:val="center"/>
          </w:tcPr>
          <w:p w14:paraId="7F9732D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Operational simplicity</w:t>
            </w:r>
          </w:p>
        </w:tc>
        <w:tc>
          <w:tcPr>
            <w:tcW w:w="1656" w:type="dxa"/>
            <w:vAlign w:val="center"/>
          </w:tcPr>
          <w:p w14:paraId="6686148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0.07</w:t>
            </w:r>
          </w:p>
        </w:tc>
        <w:tc>
          <w:tcPr>
            <w:tcW w:w="1656" w:type="dxa"/>
            <w:vAlign w:val="center"/>
          </w:tcPr>
          <w:p w14:paraId="40CE88B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w:t>
            </w:r>
          </w:p>
        </w:tc>
        <w:tc>
          <w:tcPr>
            <w:tcW w:w="1656" w:type="dxa"/>
            <w:vAlign w:val="center"/>
          </w:tcPr>
          <w:p w14:paraId="4E5E954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w:t>
            </w:r>
          </w:p>
        </w:tc>
        <w:tc>
          <w:tcPr>
            <w:tcW w:w="1656" w:type="dxa"/>
            <w:vAlign w:val="center"/>
          </w:tcPr>
          <w:p w14:paraId="1D91169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0.28</w:t>
            </w:r>
          </w:p>
        </w:tc>
        <w:tc>
          <w:tcPr>
            <w:tcW w:w="1656" w:type="dxa"/>
            <w:vAlign w:val="center"/>
          </w:tcPr>
          <w:p w14:paraId="621B696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0.14</w:t>
            </w:r>
          </w:p>
        </w:tc>
      </w:tr>
      <w:tr w:rsidR="00240BDD" w:rsidRPr="00C43864" w14:paraId="11AC7A70" w14:textId="77777777">
        <w:trPr>
          <w:jc w:val="center"/>
        </w:trPr>
        <w:tc>
          <w:tcPr>
            <w:tcW w:w="1656" w:type="dxa"/>
            <w:vAlign w:val="center"/>
          </w:tcPr>
          <w:p w14:paraId="2020F48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Weighted total</w:t>
            </w:r>
          </w:p>
        </w:tc>
        <w:tc>
          <w:tcPr>
            <w:tcW w:w="1656" w:type="dxa"/>
            <w:vAlign w:val="center"/>
          </w:tcPr>
          <w:p w14:paraId="2B5238D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w:t>
            </w:r>
          </w:p>
        </w:tc>
        <w:tc>
          <w:tcPr>
            <w:tcW w:w="1656" w:type="dxa"/>
            <w:vAlign w:val="center"/>
          </w:tcPr>
          <w:p w14:paraId="0C5C2AE3" w14:textId="77777777" w:rsidR="00240BDD" w:rsidRPr="00C43864" w:rsidRDefault="00240BDD" w:rsidP="00C43864">
            <w:pPr>
              <w:spacing w:after="0" w:line="360" w:lineRule="auto"/>
              <w:rPr>
                <w:rFonts w:cs="Times New Roman"/>
                <w:sz w:val="24"/>
                <w:szCs w:val="24"/>
              </w:rPr>
            </w:pPr>
          </w:p>
        </w:tc>
        <w:tc>
          <w:tcPr>
            <w:tcW w:w="1656" w:type="dxa"/>
            <w:vAlign w:val="center"/>
          </w:tcPr>
          <w:p w14:paraId="46E60D92" w14:textId="77777777" w:rsidR="00240BDD" w:rsidRPr="00C43864" w:rsidRDefault="00240BDD" w:rsidP="00C43864">
            <w:pPr>
              <w:spacing w:after="0" w:line="360" w:lineRule="auto"/>
              <w:rPr>
                <w:rFonts w:cs="Times New Roman"/>
                <w:sz w:val="24"/>
                <w:szCs w:val="24"/>
              </w:rPr>
            </w:pPr>
          </w:p>
        </w:tc>
        <w:tc>
          <w:tcPr>
            <w:tcW w:w="1656" w:type="dxa"/>
            <w:vAlign w:val="center"/>
          </w:tcPr>
          <w:p w14:paraId="02A3825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3.71</w:t>
            </w:r>
          </w:p>
        </w:tc>
        <w:tc>
          <w:tcPr>
            <w:tcW w:w="1656" w:type="dxa"/>
            <w:vAlign w:val="center"/>
          </w:tcPr>
          <w:p w14:paraId="55CC177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4.25</w:t>
            </w:r>
          </w:p>
        </w:tc>
      </w:tr>
    </w:tbl>
    <w:p w14:paraId="20E1D522" w14:textId="77777777" w:rsidR="00240BDD" w:rsidRPr="00C43864" w:rsidRDefault="00240BDD" w:rsidP="00C43864">
      <w:pPr>
        <w:spacing w:line="360" w:lineRule="auto"/>
        <w:rPr>
          <w:rFonts w:cs="Times New Roman"/>
          <w:sz w:val="24"/>
          <w:szCs w:val="24"/>
        </w:rPr>
      </w:pPr>
    </w:p>
    <w:p w14:paraId="12BA46E8" w14:textId="77777777" w:rsidR="00240BDD" w:rsidRPr="00C43864" w:rsidRDefault="00000000" w:rsidP="00C43864">
      <w:pPr>
        <w:spacing w:line="360" w:lineRule="auto"/>
        <w:rPr>
          <w:rFonts w:cs="Times New Roman"/>
          <w:sz w:val="24"/>
          <w:szCs w:val="24"/>
        </w:rPr>
      </w:pPr>
      <w:r w:rsidRPr="00C43864">
        <w:rPr>
          <w:rFonts w:cs="Times New Roman"/>
          <w:sz w:val="24"/>
          <w:szCs w:val="24"/>
        </w:rPr>
        <w:t>Scores are engineering judgments for this planning scenario, where 1 is poor and 5 is excellent. Weights sum to 1.00. Alternative A obtains 3.71/5 and Alternative B obtains 4.25/5. Alternative B is selected because its capacity, latency support, resilience and scalability advantages outweigh its higher cost and complexity for a multi-state network with diverse critical services.</w:t>
      </w:r>
    </w:p>
    <w:p w14:paraId="0F3EE5AF"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6.4 Network slicing and edge placement</w:t>
      </w:r>
    </w:p>
    <w:tbl>
      <w:tblPr>
        <w:tblStyle w:val="TableGrid"/>
        <w:tblW w:w="0" w:type="auto"/>
        <w:jc w:val="center"/>
        <w:tblLook w:val="04A0" w:firstRow="1" w:lastRow="0" w:firstColumn="1" w:lastColumn="0" w:noHBand="0" w:noVBand="1"/>
      </w:tblPr>
      <w:tblGrid>
        <w:gridCol w:w="2481"/>
        <w:gridCol w:w="2481"/>
        <w:gridCol w:w="2482"/>
        <w:gridCol w:w="2482"/>
      </w:tblGrid>
      <w:tr w:rsidR="00240BDD" w:rsidRPr="00C43864" w14:paraId="4EC6DEB3" w14:textId="77777777">
        <w:trPr>
          <w:jc w:val="center"/>
        </w:trPr>
        <w:tc>
          <w:tcPr>
            <w:tcW w:w="2484" w:type="dxa"/>
            <w:shd w:val="clear" w:color="auto" w:fill="D9EAF7"/>
            <w:vAlign w:val="center"/>
          </w:tcPr>
          <w:p w14:paraId="7AFE3546"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Slice</w:t>
            </w:r>
          </w:p>
        </w:tc>
        <w:tc>
          <w:tcPr>
            <w:tcW w:w="2484" w:type="dxa"/>
            <w:shd w:val="clear" w:color="auto" w:fill="D9EAF7"/>
            <w:vAlign w:val="center"/>
          </w:tcPr>
          <w:p w14:paraId="054EC24F"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Resource / QoS policy</w:t>
            </w:r>
          </w:p>
        </w:tc>
        <w:tc>
          <w:tcPr>
            <w:tcW w:w="2484" w:type="dxa"/>
            <w:shd w:val="clear" w:color="auto" w:fill="D9EAF7"/>
            <w:vAlign w:val="center"/>
          </w:tcPr>
          <w:p w14:paraId="3980F830"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Core and edge placement</w:t>
            </w:r>
          </w:p>
        </w:tc>
        <w:tc>
          <w:tcPr>
            <w:tcW w:w="2484" w:type="dxa"/>
            <w:shd w:val="clear" w:color="auto" w:fill="D9EAF7"/>
            <w:vAlign w:val="center"/>
          </w:tcPr>
          <w:p w14:paraId="23BE18B7"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Failure / overload behaviour</w:t>
            </w:r>
          </w:p>
        </w:tc>
      </w:tr>
      <w:tr w:rsidR="00240BDD" w:rsidRPr="00C43864" w14:paraId="43835467" w14:textId="77777777">
        <w:trPr>
          <w:jc w:val="center"/>
        </w:trPr>
        <w:tc>
          <w:tcPr>
            <w:tcW w:w="2484" w:type="dxa"/>
            <w:vAlign w:val="center"/>
          </w:tcPr>
          <w:p w14:paraId="3E5A580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eMBB</w:t>
            </w:r>
          </w:p>
        </w:tc>
        <w:tc>
          <w:tcPr>
            <w:tcW w:w="2484" w:type="dxa"/>
            <w:vAlign w:val="center"/>
          </w:tcPr>
          <w:p w14:paraId="2AF0376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High throughput; fair scheduling; congestion control</w:t>
            </w:r>
          </w:p>
        </w:tc>
        <w:tc>
          <w:tcPr>
            <w:tcW w:w="2484" w:type="dxa"/>
            <w:vAlign w:val="center"/>
          </w:tcPr>
          <w:p w14:paraId="5C8A0DA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Regional UPF and cloud/metro edge for popular content</w:t>
            </w:r>
          </w:p>
        </w:tc>
        <w:tc>
          <w:tcPr>
            <w:tcW w:w="2484" w:type="dxa"/>
            <w:vAlign w:val="center"/>
          </w:tcPr>
          <w:p w14:paraId="3739E7E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Throttle noncritical bulk transfers; add capacity and load-balance</w:t>
            </w:r>
          </w:p>
        </w:tc>
      </w:tr>
      <w:tr w:rsidR="00240BDD" w:rsidRPr="00C43864" w14:paraId="0FB4B7E1" w14:textId="77777777">
        <w:trPr>
          <w:jc w:val="center"/>
        </w:trPr>
        <w:tc>
          <w:tcPr>
            <w:tcW w:w="2484" w:type="dxa"/>
            <w:vAlign w:val="center"/>
          </w:tcPr>
          <w:p w14:paraId="2049BD1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URLLC / industrial</w:t>
            </w:r>
          </w:p>
        </w:tc>
        <w:tc>
          <w:tcPr>
            <w:tcW w:w="2484" w:type="dxa"/>
            <w:vAlign w:val="center"/>
          </w:tcPr>
          <w:p w14:paraId="47E74A9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Admission control, priority scheduling, reserved resources, isolation</w:t>
            </w:r>
          </w:p>
        </w:tc>
        <w:tc>
          <w:tcPr>
            <w:tcW w:w="2484" w:type="dxa"/>
            <w:vAlign w:val="center"/>
          </w:tcPr>
          <w:p w14:paraId="0F25175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Local UPF and edge at factory/transport hub</w:t>
            </w:r>
          </w:p>
        </w:tc>
        <w:tc>
          <w:tcPr>
            <w:tcW w:w="2484" w:type="dxa"/>
            <w:vAlign w:val="center"/>
          </w:tcPr>
          <w:p w14:paraId="1CFC221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Redundant local compute and transport; reject excess noncritical load</w:t>
            </w:r>
          </w:p>
        </w:tc>
      </w:tr>
      <w:tr w:rsidR="00240BDD" w:rsidRPr="00C43864" w14:paraId="77E83736" w14:textId="77777777">
        <w:trPr>
          <w:jc w:val="center"/>
        </w:trPr>
        <w:tc>
          <w:tcPr>
            <w:tcW w:w="2484" w:type="dxa"/>
            <w:vAlign w:val="center"/>
          </w:tcPr>
          <w:p w14:paraId="22FEFF5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mMTC</w:t>
            </w:r>
          </w:p>
        </w:tc>
        <w:tc>
          <w:tcPr>
            <w:tcW w:w="2484" w:type="dxa"/>
            <w:vAlign w:val="center"/>
          </w:tcPr>
          <w:p w14:paraId="2B95925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Large connection scale, small payloads, power-saving modes</w:t>
            </w:r>
          </w:p>
        </w:tc>
        <w:tc>
          <w:tcPr>
            <w:tcW w:w="2484" w:type="dxa"/>
            <w:vAlign w:val="center"/>
          </w:tcPr>
          <w:p w14:paraId="241B7A6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Regional IoT platform with local aggregation where useful</w:t>
            </w:r>
          </w:p>
        </w:tc>
        <w:tc>
          <w:tcPr>
            <w:tcW w:w="2484" w:type="dxa"/>
            <w:vAlign w:val="center"/>
          </w:tcPr>
          <w:p w14:paraId="4D34A69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Rate-limit storms; authentication and device quarantine</w:t>
            </w:r>
          </w:p>
        </w:tc>
      </w:tr>
      <w:tr w:rsidR="00240BDD" w:rsidRPr="00C43864" w14:paraId="59CF48FF" w14:textId="77777777">
        <w:trPr>
          <w:jc w:val="center"/>
        </w:trPr>
        <w:tc>
          <w:tcPr>
            <w:tcW w:w="2484" w:type="dxa"/>
            <w:vAlign w:val="center"/>
          </w:tcPr>
          <w:p w14:paraId="229B079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Public safety</w:t>
            </w:r>
          </w:p>
        </w:tc>
        <w:tc>
          <w:tcPr>
            <w:tcW w:w="2484" w:type="dxa"/>
            <w:vAlign w:val="center"/>
          </w:tcPr>
          <w:p w14:paraId="307EA77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Priority/pre-emption, resilient control and protected traffic</w:t>
            </w:r>
          </w:p>
        </w:tc>
        <w:tc>
          <w:tcPr>
            <w:tcW w:w="2484" w:type="dxa"/>
            <w:vAlign w:val="center"/>
          </w:tcPr>
          <w:p w14:paraId="05EA320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Regional core with local breakout </w:t>
            </w:r>
            <w:proofErr w:type="gramStart"/>
            <w:r w:rsidRPr="00C43864">
              <w:rPr>
                <w:rFonts w:cs="Times New Roman"/>
                <w:sz w:val="24"/>
                <w:szCs w:val="24"/>
              </w:rPr>
              <w:t>where</w:t>
            </w:r>
            <w:proofErr w:type="gramEnd"/>
            <w:r w:rsidRPr="00C43864">
              <w:rPr>
                <w:rFonts w:cs="Times New Roman"/>
                <w:sz w:val="24"/>
                <w:szCs w:val="24"/>
              </w:rPr>
              <w:t xml:space="preserve"> permitted</w:t>
            </w:r>
          </w:p>
        </w:tc>
        <w:tc>
          <w:tcPr>
            <w:tcW w:w="2484" w:type="dxa"/>
            <w:vAlign w:val="center"/>
          </w:tcPr>
          <w:p w14:paraId="048E152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Backup power, alternate backhaul, emergency priority and tested fallback</w:t>
            </w:r>
          </w:p>
        </w:tc>
      </w:tr>
    </w:tbl>
    <w:p w14:paraId="00303CD3" w14:textId="77777777" w:rsidR="00240BDD" w:rsidRPr="00C43864" w:rsidRDefault="00240BDD" w:rsidP="00C43864">
      <w:pPr>
        <w:spacing w:line="360" w:lineRule="auto"/>
        <w:rPr>
          <w:rFonts w:cs="Times New Roman"/>
          <w:sz w:val="24"/>
          <w:szCs w:val="24"/>
        </w:rPr>
      </w:pPr>
    </w:p>
    <w:p w14:paraId="559A2A7E"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Network slicing creates logical service-specific networks over shared infrastructure. It does not by itself guarantee isolation or reliability; policy configuration, admission control, security and resource </w:t>
      </w:r>
      <w:r w:rsidRPr="00C43864">
        <w:rPr>
          <w:rFonts w:cs="Times New Roman"/>
          <w:sz w:val="24"/>
          <w:szCs w:val="24"/>
        </w:rPr>
        <w:lastRenderedPageBreak/>
        <w:t>capacity must be tested. Edge computing places application processing near users or devices and can reduce transport delay, but only when the application, UPF path, backhaul and edge workload are all engineered together.</w:t>
      </w:r>
    </w:p>
    <w:p w14:paraId="165CF453"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6.5 Design Decision 4</w:t>
      </w:r>
    </w:p>
    <w:p w14:paraId="0715E022" w14:textId="77777777" w:rsidR="00240BDD" w:rsidRPr="00C43864" w:rsidRDefault="00000000" w:rsidP="00C43864">
      <w:pPr>
        <w:spacing w:line="360" w:lineRule="auto"/>
        <w:rPr>
          <w:rFonts w:cs="Times New Roman"/>
          <w:sz w:val="24"/>
          <w:szCs w:val="24"/>
        </w:rPr>
      </w:pPr>
      <w:r w:rsidRPr="00C43864">
        <w:rPr>
          <w:rFonts w:cs="Times New Roman"/>
          <w:sz w:val="24"/>
          <w:szCs w:val="24"/>
        </w:rPr>
        <w:t>Alternative B is preferred for the six-state deployment. If the dominant requirement were only rural coverage, Alternative A with low-band macros and strategic backhaul would become more attractive. If ultra-reliable vehicle communications dominated, the selected design would increase corridor overlap, roadside edge locations, redundant backhaul, reserved critical resources and rigorous mobility testing.</w:t>
      </w:r>
    </w:p>
    <w:p w14:paraId="6D4432DE"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7. Stage 5 – Integrated 5G/6G Network Design</w:t>
      </w:r>
    </w:p>
    <w:p w14:paraId="6C606987"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7.1 Logical architecture</w:t>
      </w:r>
    </w:p>
    <w:p w14:paraId="49BD5C0D" w14:textId="77777777" w:rsidR="00240BDD" w:rsidRPr="00C43864" w:rsidRDefault="00000000" w:rsidP="00C43864">
      <w:pPr>
        <w:spacing w:line="360" w:lineRule="auto"/>
        <w:rPr>
          <w:rFonts w:cs="Times New Roman"/>
          <w:sz w:val="24"/>
          <w:szCs w:val="24"/>
        </w:rPr>
      </w:pPr>
      <w:r w:rsidRPr="00C43864">
        <w:rPr>
          <w:rFonts w:cs="Times New Roman"/>
          <w:sz w:val="24"/>
          <w:szCs w:val="24"/>
        </w:rPr>
        <w:t>The proposed architecture separates radio access, transport, core control, user-plane forwarding and application processing. gNodeBs connect through fronthaul/midhaul/backhaul arrangements appropriate to the radio deployment. The 5G Core uses control-plane functions for registration, session management, policy and authentication, while user-plane functions forward application traffic toward the internet, enterprise networks or local edge applications.</w:t>
      </w:r>
    </w:p>
    <w:tbl>
      <w:tblPr>
        <w:tblStyle w:val="TableGrid"/>
        <w:tblW w:w="0" w:type="auto"/>
        <w:jc w:val="center"/>
        <w:tblLook w:val="04A0" w:firstRow="1" w:lastRow="0" w:firstColumn="1" w:lastColumn="0" w:noHBand="0" w:noVBand="1"/>
      </w:tblPr>
      <w:tblGrid>
        <w:gridCol w:w="3309"/>
        <w:gridCol w:w="3308"/>
        <w:gridCol w:w="3309"/>
      </w:tblGrid>
      <w:tr w:rsidR="00240BDD" w:rsidRPr="00C43864" w14:paraId="25267A49" w14:textId="77777777">
        <w:trPr>
          <w:jc w:val="center"/>
        </w:trPr>
        <w:tc>
          <w:tcPr>
            <w:tcW w:w="3312" w:type="dxa"/>
            <w:shd w:val="clear" w:color="auto" w:fill="D9EAF7"/>
            <w:vAlign w:val="center"/>
          </w:tcPr>
          <w:p w14:paraId="008129E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Layer</w:t>
            </w:r>
          </w:p>
        </w:tc>
        <w:tc>
          <w:tcPr>
            <w:tcW w:w="3312" w:type="dxa"/>
            <w:shd w:val="clear" w:color="auto" w:fill="D9EAF7"/>
            <w:vAlign w:val="center"/>
          </w:tcPr>
          <w:p w14:paraId="76305754"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Components</w:t>
            </w:r>
          </w:p>
        </w:tc>
        <w:tc>
          <w:tcPr>
            <w:tcW w:w="3312" w:type="dxa"/>
            <w:shd w:val="clear" w:color="auto" w:fill="D9EAF7"/>
            <w:vAlign w:val="center"/>
          </w:tcPr>
          <w:p w14:paraId="3793335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Main function</w:t>
            </w:r>
          </w:p>
        </w:tc>
      </w:tr>
      <w:tr w:rsidR="00240BDD" w:rsidRPr="00C43864" w14:paraId="2860427C" w14:textId="77777777">
        <w:trPr>
          <w:jc w:val="center"/>
        </w:trPr>
        <w:tc>
          <w:tcPr>
            <w:tcW w:w="3312" w:type="dxa"/>
            <w:vAlign w:val="center"/>
          </w:tcPr>
          <w:p w14:paraId="502E13E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Radio access</w:t>
            </w:r>
          </w:p>
        </w:tc>
        <w:tc>
          <w:tcPr>
            <w:tcW w:w="3312" w:type="dxa"/>
            <w:vAlign w:val="center"/>
          </w:tcPr>
          <w:p w14:paraId="12BDF5B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Low-band/mid-band macro gNodeBs; micro/pico and mmWave small cells; massive MIMO antennas</w:t>
            </w:r>
          </w:p>
        </w:tc>
        <w:tc>
          <w:tcPr>
            <w:tcW w:w="3312" w:type="dxa"/>
            <w:vAlign w:val="center"/>
          </w:tcPr>
          <w:p w14:paraId="1C87FF7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Access, beamforming, scheduling, mobility measurements and radio bearer handling</w:t>
            </w:r>
          </w:p>
        </w:tc>
      </w:tr>
      <w:tr w:rsidR="00240BDD" w:rsidRPr="00C43864" w14:paraId="708D90A4" w14:textId="77777777">
        <w:trPr>
          <w:jc w:val="center"/>
        </w:trPr>
        <w:tc>
          <w:tcPr>
            <w:tcW w:w="3312" w:type="dxa"/>
            <w:vAlign w:val="center"/>
          </w:tcPr>
          <w:p w14:paraId="0FE3691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Transport</w:t>
            </w:r>
          </w:p>
        </w:tc>
        <w:tc>
          <w:tcPr>
            <w:tcW w:w="3312" w:type="dxa"/>
            <w:vAlign w:val="center"/>
          </w:tcPr>
          <w:p w14:paraId="22443DC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Fibre rings, Ethernet aggregation, microwave backup, synchronization</w:t>
            </w:r>
          </w:p>
        </w:tc>
        <w:tc>
          <w:tcPr>
            <w:tcW w:w="3312" w:type="dxa"/>
            <w:vAlign w:val="center"/>
          </w:tcPr>
          <w:p w14:paraId="2F01BBC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Carry user/control traffic with sufficient capacity, low jitter and alternate routes</w:t>
            </w:r>
          </w:p>
        </w:tc>
      </w:tr>
      <w:tr w:rsidR="00240BDD" w:rsidRPr="00C43864" w14:paraId="5F31C694" w14:textId="77777777">
        <w:trPr>
          <w:jc w:val="center"/>
        </w:trPr>
        <w:tc>
          <w:tcPr>
            <w:tcW w:w="3312" w:type="dxa"/>
            <w:vAlign w:val="center"/>
          </w:tcPr>
          <w:p w14:paraId="01F2CB2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5G Core control plane</w:t>
            </w:r>
          </w:p>
        </w:tc>
        <w:tc>
          <w:tcPr>
            <w:tcW w:w="3312" w:type="dxa"/>
            <w:vAlign w:val="center"/>
          </w:tcPr>
          <w:p w14:paraId="5A678C0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AMF, SMF, PCF, UDM, AUSF, NRF, NSSF</w:t>
            </w:r>
          </w:p>
        </w:tc>
        <w:tc>
          <w:tcPr>
            <w:tcW w:w="3312" w:type="dxa"/>
            <w:vAlign w:val="center"/>
          </w:tcPr>
          <w:p w14:paraId="5173B69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Registration/mobility, session setup, policy, subscriber data, authentication, service discovery and slice selection</w:t>
            </w:r>
          </w:p>
        </w:tc>
      </w:tr>
      <w:tr w:rsidR="00240BDD" w:rsidRPr="00C43864" w14:paraId="550E1FB3" w14:textId="77777777">
        <w:trPr>
          <w:jc w:val="center"/>
        </w:trPr>
        <w:tc>
          <w:tcPr>
            <w:tcW w:w="3312" w:type="dxa"/>
            <w:vAlign w:val="center"/>
          </w:tcPr>
          <w:p w14:paraId="139C0D4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5G Core user plane</w:t>
            </w:r>
          </w:p>
        </w:tc>
        <w:tc>
          <w:tcPr>
            <w:tcW w:w="3312" w:type="dxa"/>
            <w:vAlign w:val="center"/>
          </w:tcPr>
          <w:p w14:paraId="64B6641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UPF, local/regional breakout</w:t>
            </w:r>
          </w:p>
        </w:tc>
        <w:tc>
          <w:tcPr>
            <w:tcW w:w="3312" w:type="dxa"/>
            <w:vAlign w:val="center"/>
          </w:tcPr>
          <w:p w14:paraId="442B880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Packet forwarding, QoS enforcement and routing to </w:t>
            </w:r>
            <w:r w:rsidRPr="00C43864">
              <w:rPr>
                <w:rFonts w:cs="Times New Roman"/>
                <w:sz w:val="24"/>
                <w:szCs w:val="24"/>
              </w:rPr>
              <w:lastRenderedPageBreak/>
              <w:t>edge, enterprise or external data networks</w:t>
            </w:r>
          </w:p>
        </w:tc>
      </w:tr>
      <w:tr w:rsidR="00240BDD" w:rsidRPr="00C43864" w14:paraId="5E5F9BD2" w14:textId="77777777">
        <w:trPr>
          <w:jc w:val="center"/>
        </w:trPr>
        <w:tc>
          <w:tcPr>
            <w:tcW w:w="3312" w:type="dxa"/>
            <w:vAlign w:val="center"/>
          </w:tcPr>
          <w:p w14:paraId="19E307D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Applications/edge</w:t>
            </w:r>
          </w:p>
        </w:tc>
        <w:tc>
          <w:tcPr>
            <w:tcW w:w="3312" w:type="dxa"/>
            <w:vAlign w:val="center"/>
          </w:tcPr>
          <w:p w14:paraId="35B0BF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MEC clusters, healthcare apps, industrial controllers, transport analytics, IoT platform</w:t>
            </w:r>
          </w:p>
        </w:tc>
        <w:tc>
          <w:tcPr>
            <w:tcW w:w="3312" w:type="dxa"/>
            <w:vAlign w:val="center"/>
          </w:tcPr>
          <w:p w14:paraId="58C0253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Low-latency processing, local data handling and service-specific applications</w:t>
            </w:r>
          </w:p>
        </w:tc>
      </w:tr>
      <w:tr w:rsidR="00240BDD" w:rsidRPr="00C43864" w14:paraId="522B8402" w14:textId="77777777">
        <w:trPr>
          <w:jc w:val="center"/>
        </w:trPr>
        <w:tc>
          <w:tcPr>
            <w:tcW w:w="3312" w:type="dxa"/>
            <w:vAlign w:val="center"/>
          </w:tcPr>
          <w:p w14:paraId="14E9AB0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Operations/security</w:t>
            </w:r>
          </w:p>
        </w:tc>
        <w:tc>
          <w:tcPr>
            <w:tcW w:w="3312" w:type="dxa"/>
            <w:vAlign w:val="center"/>
          </w:tcPr>
          <w:p w14:paraId="6352AF9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AI/analytics platform, OSS/BSS, SIEM, orchestration and monitoring</w:t>
            </w:r>
          </w:p>
        </w:tc>
        <w:tc>
          <w:tcPr>
            <w:tcW w:w="3312" w:type="dxa"/>
            <w:vAlign w:val="center"/>
          </w:tcPr>
          <w:p w14:paraId="7627065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Performance assurance, configuration, anomaly detection, incident response and energy optimization</w:t>
            </w:r>
          </w:p>
        </w:tc>
      </w:tr>
    </w:tbl>
    <w:p w14:paraId="6A742E58" w14:textId="77777777" w:rsidR="00240BDD" w:rsidRPr="00C43864" w:rsidRDefault="00240BDD" w:rsidP="00C43864">
      <w:pPr>
        <w:spacing w:line="360" w:lineRule="auto"/>
        <w:rPr>
          <w:rFonts w:cs="Times New Roman"/>
          <w:sz w:val="24"/>
          <w:szCs w:val="24"/>
        </w:rPr>
      </w:pPr>
    </w:p>
    <w:p w14:paraId="0622DC36" w14:textId="77777777" w:rsidR="00240BDD" w:rsidRPr="00C43864" w:rsidRDefault="00000000" w:rsidP="00C43864">
      <w:pPr>
        <w:spacing w:line="360" w:lineRule="auto"/>
        <w:rPr>
          <w:rFonts w:cs="Times New Roman"/>
          <w:sz w:val="24"/>
          <w:szCs w:val="24"/>
        </w:rPr>
      </w:pPr>
      <w:r w:rsidRPr="00C43864">
        <w:rPr>
          <w:rFonts w:cs="Times New Roman"/>
          <w:sz w:val="24"/>
          <w:szCs w:val="24"/>
        </w:rPr>
        <w:t>Conceptual traffic path: User equipment → gNodeB → transport network → UPF → (local edge application or external data network). Control procedures involve AMF and SMF, with authentication and subscriber/policy functions such as AUSF, UDM and PCF. Exact function placement depends on the operator's implementation.</w:t>
      </w:r>
    </w:p>
    <w:p w14:paraId="0266A8DC"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7.2 State-wise deployment design</w:t>
      </w:r>
    </w:p>
    <w:p w14:paraId="3768BDF7"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Tamil Nadu: use mid-band macro capacity in Chennai, Coimbatore and industrial/port corridors; use low-band for rural reach; place local edge at selected industrial campuses and transport hubs.</w:t>
      </w:r>
    </w:p>
    <w:p w14:paraId="484C6F7E"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Karnataka: prioritize high-capacity mid-band sectors and fibre-connected small cells in Bengaluru; extend low-band coverage on highways and rural routes; deploy metro edge clusters for enterprise and mobility services.</w:t>
      </w:r>
    </w:p>
    <w:p w14:paraId="375E1F8C"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Kerala: emphasize continuous road/coastal coverage, terrain-aware macro placement and resilient backhaul; add mid-band capacity around towns, tourism centres and hospitals; use mmWave only at justified hotspots.</w:t>
      </w:r>
    </w:p>
    <w:p w14:paraId="30ED117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Maharashtra: use dense macro/micro layers in Mumbai and Pune, mmWave in selected high-traffic venues, and low-band/mid-band layers for rural and intercity coverage; protect critical enterprise routes with redundant transport.</w:t>
      </w:r>
    </w:p>
    <w:p w14:paraId="11C46A70"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Gujarat: combine low-band wide-area coverage with mid-band industrial/port capacity; deploy private or logically isolated industrial services with local edge; plan for heat, power reliability and remote-site maintenance.</w:t>
      </w:r>
    </w:p>
    <w:p w14:paraId="3733FA7E"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Uttar Pradesh: deploy low-band macros as the broad coverage foundation; add mid-band in dense cities, towns and transport corridors; use demand-led small cells in major hotspots and regional edge facilities for scalable services.</w:t>
      </w:r>
    </w:p>
    <w:p w14:paraId="601D8944"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lastRenderedPageBreak/>
        <w:t>7.3 Mobility and service continuity</w:t>
      </w:r>
    </w:p>
    <w:p w14:paraId="6827D935"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Configure neighbour relations and overlapping coverage along highways, rail/metro corridors and urban streets.</w:t>
      </w:r>
    </w:p>
    <w:p w14:paraId="5BC4A87C"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Use measurement-based handover thresholds and test at different vehicle speeds and cell-edge conditions.</w:t>
      </w:r>
    </w:p>
    <w:p w14:paraId="22807BE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Use dual connectivity or carrier aggregation where supported and useful, but do not assume every device or band combination supports it.</w:t>
      </w:r>
    </w:p>
    <w:p w14:paraId="361E4B7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Keep critical application sessions resilient to path changes; use local breakout and application-level recovery where needed.</w:t>
      </w:r>
    </w:p>
    <w:p w14:paraId="434232C7"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Monitor handover success rate, radio-link failures, ping-pong events, interruption time and packet loss.</w:t>
      </w:r>
    </w:p>
    <w:p w14:paraId="5DA2E39E"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7.4 AI-assisted network optimization</w:t>
      </w:r>
    </w:p>
    <w:p w14:paraId="4D0310BF" w14:textId="77777777" w:rsidR="00240BDD" w:rsidRPr="00C43864" w:rsidRDefault="00000000" w:rsidP="00C43864">
      <w:pPr>
        <w:spacing w:line="360" w:lineRule="auto"/>
        <w:rPr>
          <w:rFonts w:cs="Times New Roman"/>
          <w:sz w:val="24"/>
          <w:szCs w:val="24"/>
        </w:rPr>
      </w:pPr>
      <w:r w:rsidRPr="00C43864">
        <w:rPr>
          <w:rFonts w:cs="Times New Roman"/>
          <w:sz w:val="24"/>
          <w:szCs w:val="24"/>
        </w:rPr>
        <w:t>A closed-loop controller can predict cell load from historical traffic, calendar patterns, mobility and event data. It can recommend or automatically apply load balancing, scheduler changes, power adjustments, carrier activation and small-cell wake-up. A safe design keeps hard limits and human approval for high-impact changes.</w:t>
      </w:r>
    </w:p>
    <w:tbl>
      <w:tblPr>
        <w:tblStyle w:val="TableGrid"/>
        <w:tblW w:w="0" w:type="auto"/>
        <w:jc w:val="center"/>
        <w:tblLook w:val="04A0" w:firstRow="1" w:lastRow="0" w:firstColumn="1" w:lastColumn="0" w:noHBand="0" w:noVBand="1"/>
      </w:tblPr>
      <w:tblGrid>
        <w:gridCol w:w="3308"/>
        <w:gridCol w:w="3309"/>
        <w:gridCol w:w="3309"/>
      </w:tblGrid>
      <w:tr w:rsidR="00240BDD" w:rsidRPr="00C43864" w14:paraId="376035A4" w14:textId="77777777">
        <w:trPr>
          <w:jc w:val="center"/>
        </w:trPr>
        <w:tc>
          <w:tcPr>
            <w:tcW w:w="3312" w:type="dxa"/>
            <w:shd w:val="clear" w:color="auto" w:fill="D9EAF7"/>
            <w:vAlign w:val="center"/>
          </w:tcPr>
          <w:p w14:paraId="09A63BE4"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Step</w:t>
            </w:r>
          </w:p>
        </w:tc>
        <w:tc>
          <w:tcPr>
            <w:tcW w:w="3312" w:type="dxa"/>
            <w:shd w:val="clear" w:color="auto" w:fill="D9EAF7"/>
            <w:vAlign w:val="center"/>
          </w:tcPr>
          <w:p w14:paraId="49545EC3"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Input / action</w:t>
            </w:r>
          </w:p>
        </w:tc>
        <w:tc>
          <w:tcPr>
            <w:tcW w:w="3312" w:type="dxa"/>
            <w:shd w:val="clear" w:color="auto" w:fill="D9EAF7"/>
            <w:vAlign w:val="center"/>
          </w:tcPr>
          <w:p w14:paraId="44C43CE0"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Guardrail and output</w:t>
            </w:r>
          </w:p>
        </w:tc>
      </w:tr>
      <w:tr w:rsidR="00240BDD" w:rsidRPr="00C43864" w14:paraId="2B46E45B" w14:textId="77777777">
        <w:trPr>
          <w:jc w:val="center"/>
        </w:trPr>
        <w:tc>
          <w:tcPr>
            <w:tcW w:w="3312" w:type="dxa"/>
            <w:vAlign w:val="center"/>
          </w:tcPr>
          <w:p w14:paraId="00F6AD5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 Observe</w:t>
            </w:r>
          </w:p>
        </w:tc>
        <w:tc>
          <w:tcPr>
            <w:tcW w:w="3312" w:type="dxa"/>
            <w:vAlign w:val="center"/>
          </w:tcPr>
          <w:p w14:paraId="1265D25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Cell load, PRB utilization, SINR, dropped sessions, queue delay, energy and alarms</w:t>
            </w:r>
          </w:p>
        </w:tc>
        <w:tc>
          <w:tcPr>
            <w:tcW w:w="3312" w:type="dxa"/>
            <w:vAlign w:val="center"/>
          </w:tcPr>
          <w:p w14:paraId="6743B36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Validate data quality; remove identifiers where not needed</w:t>
            </w:r>
          </w:p>
        </w:tc>
      </w:tr>
      <w:tr w:rsidR="00240BDD" w:rsidRPr="00C43864" w14:paraId="036F074E" w14:textId="77777777">
        <w:trPr>
          <w:jc w:val="center"/>
        </w:trPr>
        <w:tc>
          <w:tcPr>
            <w:tcW w:w="3312" w:type="dxa"/>
            <w:vAlign w:val="center"/>
          </w:tcPr>
          <w:p w14:paraId="59B335F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 Predict</w:t>
            </w:r>
          </w:p>
        </w:tc>
        <w:tc>
          <w:tcPr>
            <w:tcW w:w="3312" w:type="dxa"/>
            <w:vAlign w:val="center"/>
          </w:tcPr>
          <w:p w14:paraId="4B2B67A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Forecast demand 15–60 minutes ahead by cell/sector</w:t>
            </w:r>
          </w:p>
        </w:tc>
        <w:tc>
          <w:tcPr>
            <w:tcW w:w="3312" w:type="dxa"/>
            <w:vAlign w:val="center"/>
          </w:tcPr>
          <w:p w14:paraId="5B3460B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Compare predictions against a simple historical-average baseline</w:t>
            </w:r>
          </w:p>
        </w:tc>
      </w:tr>
      <w:tr w:rsidR="00240BDD" w:rsidRPr="00C43864" w14:paraId="11A14B08" w14:textId="77777777">
        <w:trPr>
          <w:jc w:val="center"/>
        </w:trPr>
        <w:tc>
          <w:tcPr>
            <w:tcW w:w="3312" w:type="dxa"/>
            <w:vAlign w:val="center"/>
          </w:tcPr>
          <w:p w14:paraId="5577DF0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3. Decide</w:t>
            </w:r>
          </w:p>
        </w:tc>
        <w:tc>
          <w:tcPr>
            <w:tcW w:w="3312" w:type="dxa"/>
            <w:vAlign w:val="center"/>
          </w:tcPr>
          <w:p w14:paraId="72B2EE8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Allocate resources, adjust load balance, activate eligible capacity</w:t>
            </w:r>
          </w:p>
        </w:tc>
        <w:tc>
          <w:tcPr>
            <w:tcW w:w="3312" w:type="dxa"/>
            <w:vAlign w:val="center"/>
          </w:tcPr>
          <w:p w14:paraId="5575574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Respect spectrum licences, slice reservations, power limits and safety policies</w:t>
            </w:r>
          </w:p>
        </w:tc>
      </w:tr>
      <w:tr w:rsidR="00240BDD" w:rsidRPr="00C43864" w14:paraId="46D1FC4D" w14:textId="77777777">
        <w:trPr>
          <w:jc w:val="center"/>
        </w:trPr>
        <w:tc>
          <w:tcPr>
            <w:tcW w:w="3312" w:type="dxa"/>
            <w:vAlign w:val="center"/>
          </w:tcPr>
          <w:p w14:paraId="73C8336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4. Apply</w:t>
            </w:r>
          </w:p>
        </w:tc>
        <w:tc>
          <w:tcPr>
            <w:tcW w:w="3312" w:type="dxa"/>
            <w:vAlign w:val="center"/>
          </w:tcPr>
          <w:p w14:paraId="62687A1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Send configuration through approved orchestration interfaces</w:t>
            </w:r>
          </w:p>
        </w:tc>
        <w:tc>
          <w:tcPr>
            <w:tcW w:w="3312" w:type="dxa"/>
            <w:vAlign w:val="center"/>
          </w:tcPr>
          <w:p w14:paraId="5D209A7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Canary deployment, rollback and change log</w:t>
            </w:r>
          </w:p>
        </w:tc>
      </w:tr>
      <w:tr w:rsidR="00240BDD" w:rsidRPr="00C43864" w14:paraId="1CBE1B70" w14:textId="77777777">
        <w:trPr>
          <w:jc w:val="center"/>
        </w:trPr>
        <w:tc>
          <w:tcPr>
            <w:tcW w:w="3312" w:type="dxa"/>
            <w:vAlign w:val="center"/>
          </w:tcPr>
          <w:p w14:paraId="00C8FD9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 Verify</w:t>
            </w:r>
          </w:p>
        </w:tc>
        <w:tc>
          <w:tcPr>
            <w:tcW w:w="3312" w:type="dxa"/>
            <w:vAlign w:val="center"/>
          </w:tcPr>
          <w:p w14:paraId="39B5B87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Compare KPIs before/after and detect regressions</w:t>
            </w:r>
          </w:p>
        </w:tc>
        <w:tc>
          <w:tcPr>
            <w:tcW w:w="3312" w:type="dxa"/>
            <w:vAlign w:val="center"/>
          </w:tcPr>
          <w:p w14:paraId="0B71831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Keep action only if service KPIs improve without harming critical slices</w:t>
            </w:r>
          </w:p>
        </w:tc>
      </w:tr>
    </w:tbl>
    <w:p w14:paraId="442F5F9E" w14:textId="77777777" w:rsidR="00240BDD" w:rsidRPr="00C43864" w:rsidRDefault="00240BDD" w:rsidP="00C43864">
      <w:pPr>
        <w:spacing w:line="360" w:lineRule="auto"/>
        <w:rPr>
          <w:rFonts w:cs="Times New Roman"/>
          <w:sz w:val="24"/>
          <w:szCs w:val="24"/>
        </w:rPr>
      </w:pPr>
    </w:p>
    <w:p w14:paraId="6874189F" w14:textId="77777777" w:rsidR="00240BDD" w:rsidRPr="00C43864" w:rsidRDefault="00000000" w:rsidP="00C43864">
      <w:pPr>
        <w:spacing w:line="360" w:lineRule="auto"/>
        <w:rPr>
          <w:rFonts w:cs="Times New Roman"/>
          <w:sz w:val="24"/>
          <w:szCs w:val="24"/>
        </w:rPr>
      </w:pPr>
      <w:r w:rsidRPr="00C43864">
        <w:rPr>
          <w:rFonts w:cs="Times New Roman"/>
          <w:sz w:val="24"/>
          <w:szCs w:val="24"/>
        </w:rPr>
        <w:t>The AI method should be evaluated against a baseline using identical traffic traces. Report prediction error (e.g., MAE), 95th-percentile latency, blocked sessions, throughput, energy per delivered bit and number of unsafe or reverted actions. AI is an optimization aid, not a substitute for engineering limits or operator supervision.</w:t>
      </w:r>
    </w:p>
    <w:p w14:paraId="48E17F00"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7.5 Cybersecurity and resilience</w:t>
      </w:r>
    </w:p>
    <w:p w14:paraId="0DD20AC7"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Use 5G authentication procedures and protect subscriber credentials; apply encryption and integrity protection as supported by the relevant interface and deployment.</w:t>
      </w:r>
    </w:p>
    <w:p w14:paraId="4DF43DB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Separate management, control and user-plane access; use least-privilege roles, multifactor authentication for administrators and audited configuration changes.</w:t>
      </w:r>
    </w:p>
    <w:p w14:paraId="2DF0BC5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Patch and harden network functions, containers, orchestration tools and edge servers; maintain software bills of materials and vulnerability response procedures.</w:t>
      </w:r>
    </w:p>
    <w:p w14:paraId="07766985"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Use anomaly detection for signalling storms, denial-of-service patterns, rogue devices, unusual traffic and configuration drift.</w:t>
      </w:r>
    </w:p>
    <w:p w14:paraId="64BAB5D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Protect backhaul with secure tunnels where appropriate, physical route diversity and monitoring; provide backup power for critical sites.</w:t>
      </w:r>
    </w:p>
    <w:p w14:paraId="69DF88A5"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Maintain tested backups, configuration recovery, incident playbooks and disaster-recovery sites. Define recovery time and recovery point objectives for critical services.</w:t>
      </w:r>
    </w:p>
    <w:p w14:paraId="3F8A05F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Apply privacy-by-design: minimize retained personal data, restrict access, define retention periods and follow applicable Indian law and sectoral requirements.</w:t>
      </w:r>
    </w:p>
    <w:p w14:paraId="2D13E7BE"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7.6 Energy efficiency and sustainability</w:t>
      </w:r>
    </w:p>
    <w:p w14:paraId="6FAE2608"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Enable carrier and small-cell sleep modes during low traffic, while preserving coverage and wake-up time requirements.</w:t>
      </w:r>
    </w:p>
    <w:p w14:paraId="06F60216"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Use AI-guided energy control with minimum coverage, emergency readiness and critical-slice safeguards.</w:t>
      </w:r>
    </w:p>
    <w:p w14:paraId="26BABF2A"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Share towers, ducts, fibre and suitable passive infrastructure to reduce duplicate construction.</w:t>
      </w:r>
    </w:p>
    <w:p w14:paraId="6544786F"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Prefer fibre where practical and use microwave links selectively where fibre construction is uneconomic or unavailable.</w:t>
      </w:r>
    </w:p>
    <w:p w14:paraId="0ECD33C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Monitor energy per delivered bit, site power, renewable-energy contribution, battery health and diesel-generator runtime.</w:t>
      </w:r>
    </w:p>
    <w:p w14:paraId="71486A5A"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Plan equipment reuse, battery recycling and responsible electronic-waste handling.</w:t>
      </w:r>
    </w:p>
    <w:p w14:paraId="0224F1B7"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lastRenderedPageBreak/>
        <w:t>7.7 Future 6G concept</w:t>
      </w:r>
    </w:p>
    <w:p w14:paraId="5E59A610" w14:textId="77777777" w:rsidR="00240BDD" w:rsidRPr="00C43864" w:rsidRDefault="00000000" w:rsidP="00C43864">
      <w:pPr>
        <w:spacing w:line="360" w:lineRule="auto"/>
        <w:rPr>
          <w:rFonts w:cs="Times New Roman"/>
          <w:sz w:val="24"/>
          <w:szCs w:val="24"/>
        </w:rPr>
      </w:pPr>
      <w:r w:rsidRPr="00C43864">
        <w:rPr>
          <w:rFonts w:cs="Times New Roman"/>
          <w:sz w:val="24"/>
          <w:szCs w:val="24"/>
        </w:rPr>
        <w:t xml:space="preserve">AI-native networking is included as a research-to-deployment pathway: the network exposes telemetry to controlled learning/optimization loops while maintaining deterministic policy limits. Integrated sensing and communication (ISAC) </w:t>
      </w:r>
      <w:proofErr w:type="gramStart"/>
      <w:r w:rsidRPr="00C43864">
        <w:rPr>
          <w:rFonts w:cs="Times New Roman"/>
          <w:sz w:val="24"/>
          <w:szCs w:val="24"/>
        </w:rPr>
        <w:t>is</w:t>
      </w:r>
      <w:proofErr w:type="gramEnd"/>
      <w:r w:rsidRPr="00C43864">
        <w:rPr>
          <w:rFonts w:cs="Times New Roman"/>
          <w:sz w:val="24"/>
          <w:szCs w:val="24"/>
        </w:rPr>
        <w:t xml:space="preserve"> another potential 6G direction for joint radio communication and environmental sensing. These are future-facing concepts and should be treated as pilots or research activities until standards, spectrum, equipment and regulatory conditions are established. The proposed production baseline remains 5G NR and the 5G Core.</w:t>
      </w:r>
    </w:p>
    <w:p w14:paraId="30449094"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8. Stage 6 – Validation, Scenarios and Verification</w:t>
      </w:r>
    </w:p>
    <w:p w14:paraId="516B434C"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8.1 Validation methodology</w:t>
      </w:r>
    </w:p>
    <w:p w14:paraId="1B01AA08"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Analytical checks: recalculate FSPL, hexagonal coverage area, bandwidth × spectral-efficiency capacity, Erlang B channels and weighted architecture scores.</w:t>
      </w:r>
    </w:p>
    <w:p w14:paraId="29E4AC34"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Radio simulation: use MATLAB, ns-3 or a vendor planning tool with path loss, shadowing, fading, mobility, traffic mix, interference and scheduler assumptions.</w:t>
      </w:r>
    </w:p>
    <w:p w14:paraId="44AF22AE"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Drive/walk tests: measure RSRP/RSRQ/SINR, throughput, handover interruption and coverage holes across representative urban, rural, hill, industrial and highway routes.</w:t>
      </w:r>
    </w:p>
    <w:p w14:paraId="0DD2343F"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Core/edge tests: measure round-trip and one-way latency, jitter, packet loss, UPF path and application response time.</w:t>
      </w:r>
    </w:p>
    <w:p w14:paraId="542B0FDB"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Security/resilience tests: controlled failover, backup-power tests, access-control review, vulnerability assessment and recovery exercises.</w:t>
      </w:r>
    </w:p>
    <w:p w14:paraId="130C1C87"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Energy tests: compare site power and delivered traffic with energy-saving features enabled and disabled under equivalent load.</w:t>
      </w:r>
    </w:p>
    <w:p w14:paraId="52AF23F5"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8.2 Scenario A – Busy-hour congestion</w:t>
      </w:r>
    </w:p>
    <w:p w14:paraId="240361B2" w14:textId="77777777" w:rsidR="00240BDD" w:rsidRPr="00C43864" w:rsidRDefault="00000000" w:rsidP="00C43864">
      <w:pPr>
        <w:spacing w:line="360" w:lineRule="auto"/>
        <w:rPr>
          <w:rFonts w:cs="Times New Roman"/>
          <w:sz w:val="24"/>
          <w:szCs w:val="24"/>
        </w:rPr>
      </w:pPr>
      <w:r w:rsidRPr="00C43864">
        <w:rPr>
          <w:rFonts w:cs="Times New Roman"/>
          <w:sz w:val="24"/>
          <w:szCs w:val="24"/>
        </w:rPr>
        <w:t>Assume one sector has 300 Mbps nominal net capacity and a planning utilization ceiling of 70%, giving 210 Mbps planned usable capacity. If measured demand rises to 260 Mbps, demand exceeds the planned capacity by 50 Mbps, or 23.8% of the 210 Mbps planning allowance. The controller should first protect URLLC and emergency traffic, then rebalance eMBB users, activate additional carrier/small-cell capacity where available, and apply content caching or rate adaptation. If congestion remains sustained, add capacity rather than relying indefinitely on scheduler tuning.</w:t>
      </w:r>
    </w:p>
    <w:p w14:paraId="30C7AE86"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lastRenderedPageBreak/>
        <w:t>8.3 Scenario B – Backhaul or site failure</w:t>
      </w:r>
    </w:p>
    <w:p w14:paraId="777F21BE" w14:textId="77777777" w:rsidR="00240BDD" w:rsidRPr="00C43864" w:rsidRDefault="00000000" w:rsidP="00C43864">
      <w:pPr>
        <w:spacing w:line="360" w:lineRule="auto"/>
        <w:rPr>
          <w:rFonts w:cs="Times New Roman"/>
          <w:sz w:val="24"/>
          <w:szCs w:val="24"/>
        </w:rPr>
      </w:pPr>
      <w:r w:rsidRPr="00C43864">
        <w:rPr>
          <w:rFonts w:cs="Times New Roman"/>
          <w:sz w:val="24"/>
          <w:szCs w:val="24"/>
        </w:rPr>
        <w:t>If a critical cell loses its primary fibre path, traffic should reroute over a physically diverse secondary path or a tested microwave backup. If the radio site loses commercial power, batteries should maintain service for the specified autonomy period and emergency sites should have a documented restoration plan. The test must measure packet loss, restoration time, critical-slice availability and whether priority traffic remains accessible. A single logical backup sharing the same duct or power source is not true physical redundancy.</w:t>
      </w:r>
    </w:p>
    <w:p w14:paraId="633E78C6"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8.4 Scenario C – Emergency demand surge</w:t>
      </w:r>
    </w:p>
    <w:p w14:paraId="6EAC1C6B" w14:textId="77777777" w:rsidR="00240BDD" w:rsidRPr="00C43864" w:rsidRDefault="00000000" w:rsidP="00C43864">
      <w:pPr>
        <w:spacing w:line="360" w:lineRule="auto"/>
        <w:rPr>
          <w:rFonts w:cs="Times New Roman"/>
          <w:sz w:val="24"/>
          <w:szCs w:val="24"/>
        </w:rPr>
      </w:pPr>
      <w:r w:rsidRPr="00C43864">
        <w:rPr>
          <w:rFonts w:cs="Times New Roman"/>
          <w:sz w:val="24"/>
          <w:szCs w:val="24"/>
        </w:rPr>
        <w:t>During a flood, cyclone, major public event or transport incident, demand can rise sharply while infrastructure is damaged. The network should reserve capacity for public-safety communication, allow authorized priority/pre-emption, deploy temporary cells where feasible, use alternate backhaul and distribute emergency information through robust broadcast/multicast options where supported. Capacity must be tested with an agreed surge profile; no universal surge factor is assumed here.</w:t>
      </w:r>
    </w:p>
    <w:p w14:paraId="5BCB2291" w14:textId="1C3B13E6" w:rsidR="00240BDD" w:rsidRPr="00C43864" w:rsidRDefault="00000000" w:rsidP="00C43864">
      <w:pPr>
        <w:pStyle w:val="Heading2"/>
        <w:tabs>
          <w:tab w:val="center" w:pos="4968"/>
        </w:tabs>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8.5 Requirement-verification table</w:t>
      </w:r>
      <w:r w:rsidR="00C43864" w:rsidRPr="00C43864">
        <w:rPr>
          <w:rFonts w:ascii="Times New Roman" w:hAnsi="Times New Roman" w:cs="Times New Roman"/>
          <w:color w:val="auto"/>
          <w:szCs w:val="24"/>
        </w:rPr>
        <w:tab/>
      </w:r>
    </w:p>
    <w:tbl>
      <w:tblPr>
        <w:tblStyle w:val="TableGrid"/>
        <w:tblW w:w="0" w:type="auto"/>
        <w:jc w:val="center"/>
        <w:tblLook w:val="04A0" w:firstRow="1" w:lastRow="0" w:firstColumn="1" w:lastColumn="0" w:noHBand="0" w:noVBand="1"/>
      </w:tblPr>
      <w:tblGrid>
        <w:gridCol w:w="2484"/>
        <w:gridCol w:w="2481"/>
        <w:gridCol w:w="2480"/>
        <w:gridCol w:w="2481"/>
      </w:tblGrid>
      <w:tr w:rsidR="00240BDD" w:rsidRPr="00C43864" w14:paraId="1EB5892C" w14:textId="77777777">
        <w:trPr>
          <w:jc w:val="center"/>
        </w:trPr>
        <w:tc>
          <w:tcPr>
            <w:tcW w:w="2484" w:type="dxa"/>
            <w:shd w:val="clear" w:color="auto" w:fill="D9EAF7"/>
            <w:vAlign w:val="center"/>
          </w:tcPr>
          <w:p w14:paraId="1AF9EB85"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Requirement</w:t>
            </w:r>
          </w:p>
        </w:tc>
        <w:tc>
          <w:tcPr>
            <w:tcW w:w="2484" w:type="dxa"/>
            <w:shd w:val="clear" w:color="auto" w:fill="D9EAF7"/>
            <w:vAlign w:val="center"/>
          </w:tcPr>
          <w:p w14:paraId="00CD14CD"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Design response</w:t>
            </w:r>
          </w:p>
        </w:tc>
        <w:tc>
          <w:tcPr>
            <w:tcW w:w="2484" w:type="dxa"/>
            <w:shd w:val="clear" w:color="auto" w:fill="D9EAF7"/>
            <w:vAlign w:val="center"/>
          </w:tcPr>
          <w:p w14:paraId="56A3BAE3"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Evidence / validation</w:t>
            </w:r>
          </w:p>
        </w:tc>
        <w:tc>
          <w:tcPr>
            <w:tcW w:w="2484" w:type="dxa"/>
            <w:shd w:val="clear" w:color="auto" w:fill="D9EAF7"/>
            <w:vAlign w:val="center"/>
          </w:tcPr>
          <w:p w14:paraId="62457C1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Status</w:t>
            </w:r>
          </w:p>
        </w:tc>
      </w:tr>
      <w:tr w:rsidR="00240BDD" w:rsidRPr="00C43864" w14:paraId="713834CC" w14:textId="77777777">
        <w:trPr>
          <w:jc w:val="center"/>
        </w:trPr>
        <w:tc>
          <w:tcPr>
            <w:tcW w:w="2484" w:type="dxa"/>
            <w:vAlign w:val="center"/>
          </w:tcPr>
          <w:p w14:paraId="355C0D2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Six-state differences addressed</w:t>
            </w:r>
          </w:p>
        </w:tc>
        <w:tc>
          <w:tcPr>
            <w:tcW w:w="2484" w:type="dxa"/>
            <w:vAlign w:val="center"/>
          </w:tcPr>
          <w:p w14:paraId="2771D63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State-wise spectrum and RAN matrix</w:t>
            </w:r>
          </w:p>
        </w:tc>
        <w:tc>
          <w:tcPr>
            <w:tcW w:w="2484" w:type="dxa"/>
            <w:vAlign w:val="center"/>
          </w:tcPr>
          <w:p w14:paraId="5534645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Planning matrix in Section 3.3 and 7.2</w:t>
            </w:r>
          </w:p>
        </w:tc>
        <w:tc>
          <w:tcPr>
            <w:tcW w:w="2484" w:type="dxa"/>
            <w:vAlign w:val="center"/>
          </w:tcPr>
          <w:p w14:paraId="55F9F4F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Conceptually addressed; needs geospatial data</w:t>
            </w:r>
          </w:p>
        </w:tc>
      </w:tr>
      <w:tr w:rsidR="00240BDD" w:rsidRPr="00C43864" w14:paraId="163BE9C9" w14:textId="77777777">
        <w:trPr>
          <w:jc w:val="center"/>
        </w:trPr>
        <w:tc>
          <w:tcPr>
            <w:tcW w:w="2484" w:type="dxa"/>
            <w:vAlign w:val="center"/>
          </w:tcPr>
          <w:p w14:paraId="144E5A5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eMBB, URLLC, mMTC and emergency services</w:t>
            </w:r>
          </w:p>
        </w:tc>
        <w:tc>
          <w:tcPr>
            <w:tcW w:w="2484" w:type="dxa"/>
            <w:vAlign w:val="center"/>
          </w:tcPr>
          <w:p w14:paraId="1CED7D2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Four logical slices with QoS policies</w:t>
            </w:r>
          </w:p>
        </w:tc>
        <w:tc>
          <w:tcPr>
            <w:tcW w:w="2484" w:type="dxa"/>
            <w:vAlign w:val="center"/>
          </w:tcPr>
          <w:p w14:paraId="5DE5F83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Slice plan in Section 6.4 and 7.1</w:t>
            </w:r>
          </w:p>
        </w:tc>
        <w:tc>
          <w:tcPr>
            <w:tcW w:w="2484" w:type="dxa"/>
            <w:vAlign w:val="center"/>
          </w:tcPr>
          <w:p w14:paraId="5A70035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Design defined; lab validation required</w:t>
            </w:r>
          </w:p>
        </w:tc>
      </w:tr>
      <w:tr w:rsidR="00240BDD" w:rsidRPr="00C43864" w14:paraId="41967802" w14:textId="77777777">
        <w:trPr>
          <w:jc w:val="center"/>
        </w:trPr>
        <w:tc>
          <w:tcPr>
            <w:tcW w:w="2484" w:type="dxa"/>
            <w:vAlign w:val="center"/>
          </w:tcPr>
          <w:p w14:paraId="13846FB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Blocking ≤2%</w:t>
            </w:r>
          </w:p>
        </w:tc>
        <w:tc>
          <w:tcPr>
            <w:tcW w:w="2484" w:type="dxa"/>
            <w:vAlign w:val="center"/>
          </w:tcPr>
          <w:p w14:paraId="5ABE224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Erlang B equivalent-channel calculation</w:t>
            </w:r>
          </w:p>
        </w:tc>
        <w:tc>
          <w:tcPr>
            <w:tcW w:w="2484" w:type="dxa"/>
            <w:vAlign w:val="center"/>
          </w:tcPr>
          <w:p w14:paraId="4B351DF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5; assumed 5,000 subscribers × 0.02 Erlang</w:t>
            </w:r>
          </w:p>
        </w:tc>
        <w:tc>
          <w:tcPr>
            <w:tcW w:w="2484" w:type="dxa"/>
            <w:vAlign w:val="center"/>
          </w:tcPr>
          <w:p w14:paraId="4FCB33F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Meets illustrative model; replace assumptions</w:t>
            </w:r>
          </w:p>
        </w:tc>
      </w:tr>
      <w:tr w:rsidR="00240BDD" w:rsidRPr="00C43864" w14:paraId="542A0452" w14:textId="77777777">
        <w:trPr>
          <w:jc w:val="center"/>
        </w:trPr>
        <w:tc>
          <w:tcPr>
            <w:tcW w:w="2484" w:type="dxa"/>
            <w:vAlign w:val="center"/>
          </w:tcPr>
          <w:p w14:paraId="4486AB4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Cell capacity and count</w:t>
            </w:r>
          </w:p>
        </w:tc>
        <w:tc>
          <w:tcPr>
            <w:tcW w:w="2484" w:type="dxa"/>
            <w:vAlign w:val="center"/>
          </w:tcPr>
          <w:p w14:paraId="7D66D39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B×η and 70% utilization calculation</w:t>
            </w:r>
          </w:p>
        </w:tc>
        <w:tc>
          <w:tcPr>
            <w:tcW w:w="2484" w:type="dxa"/>
            <w:vAlign w:val="center"/>
          </w:tcPr>
          <w:p w14:paraId="6CCFEBD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4.2</w:t>
            </w:r>
          </w:p>
        </w:tc>
        <w:tc>
          <w:tcPr>
            <w:tcW w:w="2484" w:type="dxa"/>
            <w:vAlign w:val="center"/>
          </w:tcPr>
          <w:p w14:paraId="7F96B85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Analytical estimate; simulation required</w:t>
            </w:r>
          </w:p>
        </w:tc>
      </w:tr>
      <w:tr w:rsidR="00240BDD" w:rsidRPr="00C43864" w14:paraId="36F6215B" w14:textId="77777777">
        <w:trPr>
          <w:jc w:val="center"/>
        </w:trPr>
        <w:tc>
          <w:tcPr>
            <w:tcW w:w="2484" w:type="dxa"/>
            <w:vAlign w:val="center"/>
          </w:tcPr>
          <w:p w14:paraId="6AF4923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Spectrum/propagation comparison</w:t>
            </w:r>
          </w:p>
        </w:tc>
        <w:tc>
          <w:tcPr>
            <w:tcW w:w="2484" w:type="dxa"/>
            <w:vAlign w:val="center"/>
          </w:tcPr>
          <w:p w14:paraId="439AD67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FSPL at 0.7, 3.5 and 28 GHz</w:t>
            </w:r>
          </w:p>
        </w:tc>
        <w:tc>
          <w:tcPr>
            <w:tcW w:w="2484" w:type="dxa"/>
            <w:vAlign w:val="center"/>
          </w:tcPr>
          <w:p w14:paraId="2622AF4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4.4</w:t>
            </w:r>
          </w:p>
        </w:tc>
        <w:tc>
          <w:tcPr>
            <w:tcW w:w="2484" w:type="dxa"/>
            <w:vAlign w:val="center"/>
          </w:tcPr>
          <w:p w14:paraId="1BAC2AE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Analytical comparison; field loss data needed</w:t>
            </w:r>
          </w:p>
        </w:tc>
      </w:tr>
      <w:tr w:rsidR="00240BDD" w:rsidRPr="00C43864" w14:paraId="378CCDE8" w14:textId="77777777">
        <w:trPr>
          <w:jc w:val="center"/>
        </w:trPr>
        <w:tc>
          <w:tcPr>
            <w:tcW w:w="2484" w:type="dxa"/>
            <w:vAlign w:val="center"/>
          </w:tcPr>
          <w:p w14:paraId="1B6A603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Critical latency target</w:t>
            </w:r>
          </w:p>
        </w:tc>
        <w:tc>
          <w:tcPr>
            <w:tcW w:w="2484" w:type="dxa"/>
            <w:vAlign w:val="center"/>
          </w:tcPr>
          <w:p w14:paraId="5AF94A9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Local UPF/edge and prioritized traffic</w:t>
            </w:r>
          </w:p>
        </w:tc>
        <w:tc>
          <w:tcPr>
            <w:tcW w:w="2484" w:type="dxa"/>
            <w:vAlign w:val="center"/>
          </w:tcPr>
          <w:p w14:paraId="28AF2FF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Latency budget in Section 4.5</w:t>
            </w:r>
          </w:p>
        </w:tc>
        <w:tc>
          <w:tcPr>
            <w:tcW w:w="2484" w:type="dxa"/>
            <w:vAlign w:val="center"/>
          </w:tcPr>
          <w:p w14:paraId="63CFD78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Target defined; end-to-end test required</w:t>
            </w:r>
          </w:p>
        </w:tc>
      </w:tr>
      <w:tr w:rsidR="00240BDD" w:rsidRPr="00C43864" w14:paraId="1D5F72EB" w14:textId="77777777">
        <w:trPr>
          <w:jc w:val="center"/>
        </w:trPr>
        <w:tc>
          <w:tcPr>
            <w:tcW w:w="2484" w:type="dxa"/>
            <w:vAlign w:val="center"/>
          </w:tcPr>
          <w:p w14:paraId="2FC4120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Mobility continuity</w:t>
            </w:r>
          </w:p>
        </w:tc>
        <w:tc>
          <w:tcPr>
            <w:tcW w:w="2484" w:type="dxa"/>
            <w:vAlign w:val="center"/>
          </w:tcPr>
          <w:p w14:paraId="0FF45AB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Overlapping coverage and handover tuning</w:t>
            </w:r>
          </w:p>
        </w:tc>
        <w:tc>
          <w:tcPr>
            <w:tcW w:w="2484" w:type="dxa"/>
            <w:vAlign w:val="center"/>
          </w:tcPr>
          <w:p w14:paraId="2C4976A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4.5 and 7.3</w:t>
            </w:r>
          </w:p>
        </w:tc>
        <w:tc>
          <w:tcPr>
            <w:tcW w:w="2484" w:type="dxa"/>
            <w:vAlign w:val="center"/>
          </w:tcPr>
          <w:p w14:paraId="1959996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Plan defined; drive tests required</w:t>
            </w:r>
          </w:p>
        </w:tc>
      </w:tr>
      <w:tr w:rsidR="00240BDD" w:rsidRPr="00C43864" w14:paraId="13112061" w14:textId="77777777">
        <w:trPr>
          <w:jc w:val="center"/>
        </w:trPr>
        <w:tc>
          <w:tcPr>
            <w:tcW w:w="2484" w:type="dxa"/>
            <w:vAlign w:val="center"/>
          </w:tcPr>
          <w:p w14:paraId="71C85B1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Security and resilience</w:t>
            </w:r>
          </w:p>
        </w:tc>
        <w:tc>
          <w:tcPr>
            <w:tcW w:w="2484" w:type="dxa"/>
            <w:vAlign w:val="center"/>
          </w:tcPr>
          <w:p w14:paraId="2E5A6FC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Authentication, encryption, redundancy, recovery</w:t>
            </w:r>
          </w:p>
        </w:tc>
        <w:tc>
          <w:tcPr>
            <w:tcW w:w="2484" w:type="dxa"/>
            <w:vAlign w:val="center"/>
          </w:tcPr>
          <w:p w14:paraId="5E7EB54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7.5 and failure scenario</w:t>
            </w:r>
          </w:p>
        </w:tc>
        <w:tc>
          <w:tcPr>
            <w:tcW w:w="2484" w:type="dxa"/>
            <w:vAlign w:val="center"/>
          </w:tcPr>
          <w:p w14:paraId="3DFC4C8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Controls proposed; audit required</w:t>
            </w:r>
          </w:p>
        </w:tc>
      </w:tr>
      <w:tr w:rsidR="00240BDD" w:rsidRPr="00C43864" w14:paraId="33B69304" w14:textId="77777777">
        <w:trPr>
          <w:jc w:val="center"/>
        </w:trPr>
        <w:tc>
          <w:tcPr>
            <w:tcW w:w="2484" w:type="dxa"/>
            <w:vAlign w:val="center"/>
          </w:tcPr>
          <w:p w14:paraId="1313DF5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Energy efficiency</w:t>
            </w:r>
          </w:p>
        </w:tc>
        <w:tc>
          <w:tcPr>
            <w:tcW w:w="2484" w:type="dxa"/>
            <w:vAlign w:val="center"/>
          </w:tcPr>
          <w:p w14:paraId="7C6BC59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Sleep modes, sharing and energy KPI</w:t>
            </w:r>
          </w:p>
        </w:tc>
        <w:tc>
          <w:tcPr>
            <w:tcW w:w="2484" w:type="dxa"/>
            <w:vAlign w:val="center"/>
          </w:tcPr>
          <w:p w14:paraId="4D896DB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7.6</w:t>
            </w:r>
          </w:p>
        </w:tc>
        <w:tc>
          <w:tcPr>
            <w:tcW w:w="2484" w:type="dxa"/>
            <w:vAlign w:val="center"/>
          </w:tcPr>
          <w:p w14:paraId="2C437A4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Target defined; site measurements required</w:t>
            </w:r>
          </w:p>
        </w:tc>
      </w:tr>
      <w:tr w:rsidR="00240BDD" w:rsidRPr="00C43864" w14:paraId="750A969D" w14:textId="77777777">
        <w:trPr>
          <w:jc w:val="center"/>
        </w:trPr>
        <w:tc>
          <w:tcPr>
            <w:tcW w:w="2484" w:type="dxa"/>
            <w:vAlign w:val="center"/>
          </w:tcPr>
          <w:p w14:paraId="7E32D42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6G readiness</w:t>
            </w:r>
          </w:p>
        </w:tc>
        <w:tc>
          <w:tcPr>
            <w:tcW w:w="2484" w:type="dxa"/>
            <w:vAlign w:val="center"/>
          </w:tcPr>
          <w:p w14:paraId="7F018B8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AI-native/ISAC pathway while retaining 5G baseline</w:t>
            </w:r>
          </w:p>
        </w:tc>
        <w:tc>
          <w:tcPr>
            <w:tcW w:w="2484" w:type="dxa"/>
            <w:vAlign w:val="center"/>
          </w:tcPr>
          <w:p w14:paraId="795265B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Section 7.7</w:t>
            </w:r>
          </w:p>
        </w:tc>
        <w:tc>
          <w:tcPr>
            <w:tcW w:w="2484" w:type="dxa"/>
            <w:vAlign w:val="center"/>
          </w:tcPr>
          <w:p w14:paraId="6915668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Future concept only; no claim of current deployment</w:t>
            </w:r>
          </w:p>
        </w:tc>
      </w:tr>
    </w:tbl>
    <w:p w14:paraId="3240FBDF" w14:textId="77777777" w:rsidR="00240BDD" w:rsidRPr="00C43864" w:rsidRDefault="00240BDD" w:rsidP="00C43864">
      <w:pPr>
        <w:spacing w:line="360" w:lineRule="auto"/>
        <w:rPr>
          <w:rFonts w:cs="Times New Roman"/>
          <w:sz w:val="24"/>
          <w:szCs w:val="24"/>
        </w:rPr>
      </w:pPr>
    </w:p>
    <w:p w14:paraId="020B7727"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8.6 Design limitations</w:t>
      </w:r>
    </w:p>
    <w:p w14:paraId="0CE6BE2E"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Subscriber counts, state traffic distributions and operator spectrum holdings were not supplied; numeric values are explicit academic assumptions.</w:t>
      </w:r>
    </w:p>
    <w:p w14:paraId="0B1AA83C"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Hexagonal coverage ignores terrain, clutter, indoor penetration, irregular cell shapes and overlap.</w:t>
      </w:r>
    </w:p>
    <w:p w14:paraId="18B4AEC7"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FSPL is a simplified free-space model and underestimates many real-world terrestrial losses.</w:t>
      </w:r>
    </w:p>
    <w:p w14:paraId="66A1BA3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Sector capacity based on B×η does not model all MIMO layers, scheduling, uplink/downlink asymmetry, retransmissions or protocol overhead.</w:t>
      </w:r>
    </w:p>
    <w:p w14:paraId="6571FCEA"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Erlang B is a circuit/loss model and does not directly represent 5G packet scheduling or network slicing.</w:t>
      </w:r>
    </w:p>
    <w:p w14:paraId="61007F89"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Latency budgets are targets and allocations, not measured performance or universal 5G guarantees.</w:t>
      </w:r>
    </w:p>
    <w:p w14:paraId="6B29A580" w14:textId="77777777" w:rsidR="00240BDD" w:rsidRPr="00C43864" w:rsidRDefault="00000000" w:rsidP="00C43864">
      <w:pPr>
        <w:pStyle w:val="ListBullet"/>
        <w:spacing w:line="360" w:lineRule="auto"/>
        <w:rPr>
          <w:rFonts w:cs="Times New Roman"/>
          <w:sz w:val="24"/>
          <w:szCs w:val="24"/>
        </w:rPr>
      </w:pPr>
      <w:r w:rsidRPr="00C43864">
        <w:rPr>
          <w:rFonts w:cs="Times New Roman"/>
          <w:sz w:val="24"/>
          <w:szCs w:val="24"/>
        </w:rPr>
        <w:t>Cost scores are relative judgments; a financial estimate needs site rent, fibre, power, equipment, spectrum and operating-cost data.</w:t>
      </w:r>
    </w:p>
    <w:p w14:paraId="37BF0D92"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9. Deployment Plan, Risks and Final Recommendation</w:t>
      </w:r>
    </w:p>
    <w:p w14:paraId="37786D6F" w14:textId="77777777" w:rsidR="00240BDD" w:rsidRPr="00C43864" w:rsidRDefault="00000000" w:rsidP="00C43864">
      <w:pPr>
        <w:pStyle w:val="Heading2"/>
        <w:spacing w:line="360" w:lineRule="auto"/>
        <w:rPr>
          <w:rFonts w:ascii="Times New Roman" w:hAnsi="Times New Roman" w:cs="Times New Roman"/>
          <w:szCs w:val="24"/>
        </w:rPr>
      </w:pPr>
      <w:r w:rsidRPr="00C43864">
        <w:rPr>
          <w:rFonts w:ascii="Times New Roman" w:hAnsi="Times New Roman" w:cs="Times New Roman"/>
          <w:color w:val="auto"/>
          <w:szCs w:val="24"/>
        </w:rPr>
        <w:t>9.1 Phased rollout</w:t>
      </w:r>
    </w:p>
    <w:tbl>
      <w:tblPr>
        <w:tblStyle w:val="TableGrid"/>
        <w:tblW w:w="0" w:type="auto"/>
        <w:jc w:val="center"/>
        <w:tblLook w:val="04A0" w:firstRow="1" w:lastRow="0" w:firstColumn="1" w:lastColumn="0" w:noHBand="0" w:noVBand="1"/>
      </w:tblPr>
      <w:tblGrid>
        <w:gridCol w:w="3309"/>
        <w:gridCol w:w="3309"/>
        <w:gridCol w:w="3308"/>
      </w:tblGrid>
      <w:tr w:rsidR="00240BDD" w:rsidRPr="00C43864" w14:paraId="2AE216A8" w14:textId="77777777">
        <w:trPr>
          <w:jc w:val="center"/>
        </w:trPr>
        <w:tc>
          <w:tcPr>
            <w:tcW w:w="3312" w:type="dxa"/>
            <w:shd w:val="clear" w:color="auto" w:fill="D9EAF7"/>
            <w:vAlign w:val="center"/>
          </w:tcPr>
          <w:p w14:paraId="220B1B89"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Phase</w:t>
            </w:r>
          </w:p>
        </w:tc>
        <w:tc>
          <w:tcPr>
            <w:tcW w:w="3312" w:type="dxa"/>
            <w:shd w:val="clear" w:color="auto" w:fill="D9EAF7"/>
            <w:vAlign w:val="center"/>
          </w:tcPr>
          <w:p w14:paraId="1F2C12F0"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Activities</w:t>
            </w:r>
          </w:p>
        </w:tc>
        <w:tc>
          <w:tcPr>
            <w:tcW w:w="3312" w:type="dxa"/>
            <w:shd w:val="clear" w:color="auto" w:fill="D9EAF7"/>
            <w:vAlign w:val="center"/>
          </w:tcPr>
          <w:p w14:paraId="78DF558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Gate to proceed</w:t>
            </w:r>
          </w:p>
        </w:tc>
      </w:tr>
      <w:tr w:rsidR="00240BDD" w:rsidRPr="00C43864" w14:paraId="4EE19A84" w14:textId="77777777">
        <w:trPr>
          <w:jc w:val="center"/>
        </w:trPr>
        <w:tc>
          <w:tcPr>
            <w:tcW w:w="3312" w:type="dxa"/>
            <w:vAlign w:val="center"/>
          </w:tcPr>
          <w:p w14:paraId="3E8BFE6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Phase 1: Data collection</w:t>
            </w:r>
          </w:p>
        </w:tc>
        <w:tc>
          <w:tcPr>
            <w:tcW w:w="3312" w:type="dxa"/>
            <w:vAlign w:val="center"/>
          </w:tcPr>
          <w:p w14:paraId="1BAC7BC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Obtain traffic maps, spectrum holdings, site inventory, terrain/clutter maps, fibre routes, public-safety priorities and cost inputs</w:t>
            </w:r>
          </w:p>
        </w:tc>
        <w:tc>
          <w:tcPr>
            <w:tcW w:w="3312" w:type="dxa"/>
            <w:vAlign w:val="center"/>
          </w:tcPr>
          <w:p w14:paraId="4316705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Data quality review and agreed KPIs</w:t>
            </w:r>
          </w:p>
        </w:tc>
      </w:tr>
      <w:tr w:rsidR="00240BDD" w:rsidRPr="00C43864" w14:paraId="20294D50" w14:textId="77777777">
        <w:trPr>
          <w:jc w:val="center"/>
        </w:trPr>
        <w:tc>
          <w:tcPr>
            <w:tcW w:w="3312" w:type="dxa"/>
            <w:vAlign w:val="center"/>
          </w:tcPr>
          <w:p w14:paraId="3FF1A80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Phase 2: Pilot</w:t>
            </w:r>
          </w:p>
        </w:tc>
        <w:tc>
          <w:tcPr>
            <w:tcW w:w="3312" w:type="dxa"/>
            <w:vAlign w:val="center"/>
          </w:tcPr>
          <w:p w14:paraId="34C7C18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Deploy representative urban, </w:t>
            </w:r>
            <w:r w:rsidRPr="00C43864">
              <w:rPr>
                <w:rFonts w:cs="Times New Roman"/>
                <w:sz w:val="24"/>
                <w:szCs w:val="24"/>
              </w:rPr>
              <w:lastRenderedPageBreak/>
              <w:t>rural, highway and industrial pilot zones; test slicing, edge and AI controls</w:t>
            </w:r>
          </w:p>
        </w:tc>
        <w:tc>
          <w:tcPr>
            <w:tcW w:w="3312" w:type="dxa"/>
            <w:vAlign w:val="center"/>
          </w:tcPr>
          <w:p w14:paraId="6E5724B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Coverage, latency, blocking </w:t>
            </w:r>
            <w:r w:rsidRPr="00C43864">
              <w:rPr>
                <w:rFonts w:cs="Times New Roman"/>
                <w:sz w:val="24"/>
                <w:szCs w:val="24"/>
              </w:rPr>
              <w:lastRenderedPageBreak/>
              <w:t>and security tests pass</w:t>
            </w:r>
          </w:p>
        </w:tc>
      </w:tr>
      <w:tr w:rsidR="00240BDD" w:rsidRPr="00C43864" w14:paraId="3F03B371" w14:textId="77777777">
        <w:trPr>
          <w:jc w:val="center"/>
        </w:trPr>
        <w:tc>
          <w:tcPr>
            <w:tcW w:w="3312" w:type="dxa"/>
            <w:vAlign w:val="center"/>
          </w:tcPr>
          <w:p w14:paraId="6B87CA3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Phase 3: Priority rollout</w:t>
            </w:r>
          </w:p>
        </w:tc>
        <w:tc>
          <w:tcPr>
            <w:tcW w:w="3312" w:type="dxa"/>
            <w:vAlign w:val="center"/>
          </w:tcPr>
          <w:p w14:paraId="53652C6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Build low-band coverage and mid-band capacity in high-demand districts and critical corridors</w:t>
            </w:r>
          </w:p>
        </w:tc>
        <w:tc>
          <w:tcPr>
            <w:tcW w:w="3312" w:type="dxa"/>
            <w:vAlign w:val="center"/>
          </w:tcPr>
          <w:p w14:paraId="6B65E4B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Measured demand and coverage acceptance</w:t>
            </w:r>
          </w:p>
        </w:tc>
      </w:tr>
      <w:tr w:rsidR="00240BDD" w:rsidRPr="00C43864" w14:paraId="567A546B" w14:textId="77777777">
        <w:trPr>
          <w:jc w:val="center"/>
        </w:trPr>
        <w:tc>
          <w:tcPr>
            <w:tcW w:w="3312" w:type="dxa"/>
            <w:vAlign w:val="center"/>
          </w:tcPr>
          <w:p w14:paraId="0C07DF2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Phase 4: Densification</w:t>
            </w:r>
          </w:p>
        </w:tc>
        <w:tc>
          <w:tcPr>
            <w:tcW w:w="3312" w:type="dxa"/>
            <w:vAlign w:val="center"/>
          </w:tcPr>
          <w:p w14:paraId="2509951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Add small cells/mmWave only where capacity measurements justify them; extend edge services</w:t>
            </w:r>
          </w:p>
        </w:tc>
        <w:tc>
          <w:tcPr>
            <w:tcW w:w="3312" w:type="dxa"/>
            <w:vAlign w:val="center"/>
          </w:tcPr>
          <w:p w14:paraId="7BAA7C9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Business case and backhaul readiness confirmed</w:t>
            </w:r>
          </w:p>
        </w:tc>
      </w:tr>
      <w:tr w:rsidR="00240BDD" w:rsidRPr="00C43864" w14:paraId="0639636D" w14:textId="77777777">
        <w:trPr>
          <w:jc w:val="center"/>
        </w:trPr>
        <w:tc>
          <w:tcPr>
            <w:tcW w:w="3312" w:type="dxa"/>
            <w:vAlign w:val="center"/>
          </w:tcPr>
          <w:p w14:paraId="2E05631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Phase 5: Optimization</w:t>
            </w:r>
          </w:p>
        </w:tc>
        <w:tc>
          <w:tcPr>
            <w:tcW w:w="3312" w:type="dxa"/>
            <w:vAlign w:val="center"/>
          </w:tcPr>
          <w:p w14:paraId="1FB82C0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Tune handovers, energy controls, AI models and disaster recovery; repeat independent tests</w:t>
            </w:r>
          </w:p>
        </w:tc>
        <w:tc>
          <w:tcPr>
            <w:tcW w:w="3312" w:type="dxa"/>
            <w:vAlign w:val="center"/>
          </w:tcPr>
          <w:p w14:paraId="777CB50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KPIs sustained through peak and failure scenarios</w:t>
            </w:r>
          </w:p>
        </w:tc>
      </w:tr>
    </w:tbl>
    <w:p w14:paraId="62A80192" w14:textId="77777777" w:rsidR="00240BDD" w:rsidRPr="00C43864" w:rsidRDefault="00240BDD" w:rsidP="00C43864">
      <w:pPr>
        <w:spacing w:line="360" w:lineRule="auto"/>
        <w:rPr>
          <w:rFonts w:cs="Times New Roman"/>
          <w:sz w:val="24"/>
          <w:szCs w:val="24"/>
        </w:rPr>
      </w:pPr>
    </w:p>
    <w:p w14:paraId="625127FC"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9.2 Principal risks and mitigations</w:t>
      </w:r>
    </w:p>
    <w:tbl>
      <w:tblPr>
        <w:tblStyle w:val="TableGrid"/>
        <w:tblW w:w="0" w:type="auto"/>
        <w:jc w:val="center"/>
        <w:tblLook w:val="04A0" w:firstRow="1" w:lastRow="0" w:firstColumn="1" w:lastColumn="0" w:noHBand="0" w:noVBand="1"/>
      </w:tblPr>
      <w:tblGrid>
        <w:gridCol w:w="3309"/>
        <w:gridCol w:w="3309"/>
        <w:gridCol w:w="3308"/>
      </w:tblGrid>
      <w:tr w:rsidR="00240BDD" w:rsidRPr="00C43864" w14:paraId="1AD934BA" w14:textId="77777777">
        <w:trPr>
          <w:jc w:val="center"/>
        </w:trPr>
        <w:tc>
          <w:tcPr>
            <w:tcW w:w="3312" w:type="dxa"/>
            <w:shd w:val="clear" w:color="auto" w:fill="D9EAF7"/>
            <w:vAlign w:val="center"/>
          </w:tcPr>
          <w:p w14:paraId="5E77E89B"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Risk</w:t>
            </w:r>
          </w:p>
        </w:tc>
        <w:tc>
          <w:tcPr>
            <w:tcW w:w="3312" w:type="dxa"/>
            <w:shd w:val="clear" w:color="auto" w:fill="D9EAF7"/>
            <w:vAlign w:val="center"/>
          </w:tcPr>
          <w:p w14:paraId="39235807"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Impact</w:t>
            </w:r>
          </w:p>
        </w:tc>
        <w:tc>
          <w:tcPr>
            <w:tcW w:w="3312" w:type="dxa"/>
            <w:shd w:val="clear" w:color="auto" w:fill="D9EAF7"/>
            <w:vAlign w:val="center"/>
          </w:tcPr>
          <w:p w14:paraId="1BF4D698"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Mitigation</w:t>
            </w:r>
          </w:p>
        </w:tc>
      </w:tr>
      <w:tr w:rsidR="00240BDD" w:rsidRPr="00C43864" w14:paraId="316E9F76" w14:textId="77777777">
        <w:trPr>
          <w:jc w:val="center"/>
        </w:trPr>
        <w:tc>
          <w:tcPr>
            <w:tcW w:w="3312" w:type="dxa"/>
            <w:vAlign w:val="center"/>
          </w:tcPr>
          <w:p w14:paraId="19C87D3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Incorrect traffic assumptions</w:t>
            </w:r>
          </w:p>
        </w:tc>
        <w:tc>
          <w:tcPr>
            <w:tcW w:w="3312" w:type="dxa"/>
            <w:vAlign w:val="center"/>
          </w:tcPr>
          <w:p w14:paraId="3B778E6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Under/overbuilding and congestion</w:t>
            </w:r>
          </w:p>
        </w:tc>
        <w:tc>
          <w:tcPr>
            <w:tcW w:w="3312" w:type="dxa"/>
            <w:vAlign w:val="center"/>
          </w:tcPr>
          <w:p w14:paraId="749FCC5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Replace illustrative values with operator busy-hour measurements; forecast growth scenarios</w:t>
            </w:r>
          </w:p>
        </w:tc>
      </w:tr>
      <w:tr w:rsidR="00240BDD" w:rsidRPr="00C43864" w14:paraId="57C2693B" w14:textId="77777777">
        <w:trPr>
          <w:jc w:val="center"/>
        </w:trPr>
        <w:tc>
          <w:tcPr>
            <w:tcW w:w="3312" w:type="dxa"/>
            <w:vAlign w:val="center"/>
          </w:tcPr>
          <w:p w14:paraId="7BE84FE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Fibre or power failure</w:t>
            </w:r>
          </w:p>
        </w:tc>
        <w:tc>
          <w:tcPr>
            <w:tcW w:w="3312" w:type="dxa"/>
            <w:vAlign w:val="center"/>
          </w:tcPr>
          <w:p w14:paraId="1A4E293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Loss of coverage or edge access</w:t>
            </w:r>
          </w:p>
        </w:tc>
        <w:tc>
          <w:tcPr>
            <w:tcW w:w="3312" w:type="dxa"/>
            <w:vAlign w:val="center"/>
          </w:tcPr>
          <w:p w14:paraId="438EC90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Physical route diversity, batteries, backup links, restoration drills</w:t>
            </w:r>
          </w:p>
        </w:tc>
      </w:tr>
      <w:tr w:rsidR="00240BDD" w:rsidRPr="00C43864" w14:paraId="071597D7" w14:textId="77777777">
        <w:trPr>
          <w:jc w:val="center"/>
        </w:trPr>
        <w:tc>
          <w:tcPr>
            <w:tcW w:w="3312" w:type="dxa"/>
            <w:vAlign w:val="center"/>
          </w:tcPr>
          <w:p w14:paraId="584BE0E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mmWave blockage / poor indoor reach</w:t>
            </w:r>
          </w:p>
        </w:tc>
        <w:tc>
          <w:tcPr>
            <w:tcW w:w="3312" w:type="dxa"/>
            <w:vAlign w:val="center"/>
          </w:tcPr>
          <w:p w14:paraId="72003AB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Coverage gaps and unstable throughput</w:t>
            </w:r>
          </w:p>
        </w:tc>
        <w:tc>
          <w:tcPr>
            <w:tcW w:w="3312" w:type="dxa"/>
            <w:vAlign w:val="center"/>
          </w:tcPr>
          <w:p w14:paraId="0DDA345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Restrict mmWave to suitable hotspots; maintain low/mid-band anchor layers</w:t>
            </w:r>
          </w:p>
        </w:tc>
      </w:tr>
      <w:tr w:rsidR="00240BDD" w:rsidRPr="00C43864" w14:paraId="019B1D9A" w14:textId="77777777">
        <w:trPr>
          <w:jc w:val="center"/>
        </w:trPr>
        <w:tc>
          <w:tcPr>
            <w:tcW w:w="3312" w:type="dxa"/>
            <w:vAlign w:val="center"/>
          </w:tcPr>
          <w:p w14:paraId="626EBE1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AI misconfiguration</w:t>
            </w:r>
          </w:p>
        </w:tc>
        <w:tc>
          <w:tcPr>
            <w:tcW w:w="3312" w:type="dxa"/>
            <w:vAlign w:val="center"/>
          </w:tcPr>
          <w:p w14:paraId="4D80426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Unexpected interference or critical-service degradation</w:t>
            </w:r>
          </w:p>
        </w:tc>
        <w:tc>
          <w:tcPr>
            <w:tcW w:w="3312" w:type="dxa"/>
            <w:vAlign w:val="center"/>
          </w:tcPr>
          <w:p w14:paraId="4C80BB3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Guardrails, canary rollout, human approval, rollback and audit</w:t>
            </w:r>
          </w:p>
        </w:tc>
      </w:tr>
      <w:tr w:rsidR="00240BDD" w:rsidRPr="00C43864" w14:paraId="239AEA88" w14:textId="77777777">
        <w:trPr>
          <w:jc w:val="center"/>
        </w:trPr>
        <w:tc>
          <w:tcPr>
            <w:tcW w:w="3312" w:type="dxa"/>
            <w:vAlign w:val="center"/>
          </w:tcPr>
          <w:p w14:paraId="36CB50A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Cyberattack or credential </w:t>
            </w:r>
            <w:r w:rsidRPr="00C43864">
              <w:rPr>
                <w:rFonts w:cs="Times New Roman"/>
                <w:sz w:val="24"/>
                <w:szCs w:val="24"/>
              </w:rPr>
              <w:lastRenderedPageBreak/>
              <w:t>compromise</w:t>
            </w:r>
          </w:p>
        </w:tc>
        <w:tc>
          <w:tcPr>
            <w:tcW w:w="3312" w:type="dxa"/>
            <w:vAlign w:val="center"/>
          </w:tcPr>
          <w:p w14:paraId="30E1B08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Service disruption and data </w:t>
            </w:r>
            <w:r w:rsidRPr="00C43864">
              <w:rPr>
                <w:rFonts w:cs="Times New Roman"/>
                <w:sz w:val="24"/>
                <w:szCs w:val="24"/>
              </w:rPr>
              <w:lastRenderedPageBreak/>
              <w:t>exposure</w:t>
            </w:r>
          </w:p>
        </w:tc>
        <w:tc>
          <w:tcPr>
            <w:tcW w:w="3312" w:type="dxa"/>
            <w:vAlign w:val="center"/>
          </w:tcPr>
          <w:p w14:paraId="5D3DB6C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Hardening, least privilege, </w:t>
            </w:r>
            <w:r w:rsidRPr="00C43864">
              <w:rPr>
                <w:rFonts w:cs="Times New Roman"/>
                <w:sz w:val="24"/>
                <w:szCs w:val="24"/>
              </w:rPr>
              <w:lastRenderedPageBreak/>
              <w:t>encryption, monitoring and incident response</w:t>
            </w:r>
          </w:p>
        </w:tc>
      </w:tr>
      <w:tr w:rsidR="00240BDD" w:rsidRPr="00C43864" w14:paraId="3EBC1DB8" w14:textId="77777777">
        <w:trPr>
          <w:jc w:val="center"/>
        </w:trPr>
        <w:tc>
          <w:tcPr>
            <w:tcW w:w="3312" w:type="dxa"/>
            <w:vAlign w:val="center"/>
          </w:tcPr>
          <w:p w14:paraId="09243A4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High small-cell operating cost</w:t>
            </w:r>
          </w:p>
        </w:tc>
        <w:tc>
          <w:tcPr>
            <w:tcW w:w="3312" w:type="dxa"/>
            <w:vAlign w:val="center"/>
          </w:tcPr>
          <w:p w14:paraId="4DDB70B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Budget overrun and maintenance burden</w:t>
            </w:r>
          </w:p>
        </w:tc>
        <w:tc>
          <w:tcPr>
            <w:tcW w:w="3312" w:type="dxa"/>
            <w:vAlign w:val="center"/>
          </w:tcPr>
          <w:p w14:paraId="76809AB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Demand-led densification, infrastructure sharing and energy-aware operation</w:t>
            </w:r>
          </w:p>
        </w:tc>
      </w:tr>
      <w:tr w:rsidR="00240BDD" w:rsidRPr="00C43864" w14:paraId="44DC9FA6" w14:textId="77777777">
        <w:trPr>
          <w:jc w:val="center"/>
        </w:trPr>
        <w:tc>
          <w:tcPr>
            <w:tcW w:w="3312" w:type="dxa"/>
            <w:vAlign w:val="center"/>
          </w:tcPr>
          <w:p w14:paraId="51CD015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6G uncertainty</w:t>
            </w:r>
          </w:p>
        </w:tc>
        <w:tc>
          <w:tcPr>
            <w:tcW w:w="3312" w:type="dxa"/>
            <w:vAlign w:val="center"/>
          </w:tcPr>
          <w:p w14:paraId="40BA781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Premature investment in immature technology</w:t>
            </w:r>
          </w:p>
        </w:tc>
        <w:tc>
          <w:tcPr>
            <w:tcW w:w="3312" w:type="dxa"/>
            <w:vAlign w:val="center"/>
          </w:tcPr>
          <w:p w14:paraId="4C9D2D3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Keep 6G concepts in pilots/research; use upgradeable 5G-ready architecture</w:t>
            </w:r>
          </w:p>
        </w:tc>
      </w:tr>
    </w:tbl>
    <w:p w14:paraId="5EE58921" w14:textId="77777777" w:rsidR="00240BDD" w:rsidRPr="00C43864" w:rsidRDefault="00240BDD" w:rsidP="00C43864">
      <w:pPr>
        <w:spacing w:line="360" w:lineRule="auto"/>
        <w:rPr>
          <w:rFonts w:cs="Times New Roman"/>
          <w:sz w:val="24"/>
          <w:szCs w:val="24"/>
        </w:rPr>
      </w:pPr>
    </w:p>
    <w:p w14:paraId="26CAB16C"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9.3 Final recommendation</w:t>
      </w:r>
    </w:p>
    <w:p w14:paraId="49054E6E" w14:textId="77777777" w:rsidR="00240BDD" w:rsidRPr="00C43864" w:rsidRDefault="00000000" w:rsidP="00C43864">
      <w:pPr>
        <w:spacing w:line="360" w:lineRule="auto"/>
        <w:rPr>
          <w:rFonts w:cs="Times New Roman"/>
          <w:sz w:val="24"/>
          <w:szCs w:val="24"/>
        </w:rPr>
      </w:pPr>
      <w:r w:rsidRPr="00C43864">
        <w:rPr>
          <w:rFonts w:cs="Times New Roman"/>
          <w:sz w:val="24"/>
          <w:szCs w:val="24"/>
        </w:rPr>
        <w:t>Recommendation: deploy the heterogeneous Alternative B with modifications and phased validation. Use sub-1 GHz for broad coverage and emergency reach, mid-band for the principal 5G capacity layer, and mmWave only at high-demand hotspots with reliable backhaul. Deploy local edge processing for industrial control, selected vehicle services and latency-sensitive healthcare applications. Provide four logical slices—eMBB, URLLC/industrial, mMTC and public safety—with explicit resource policies, admission control and security boundaries. Apply AI-assisted optimization only inside monitored guardrails and compare it with a baseline before production activation.</w:t>
      </w:r>
    </w:p>
    <w:p w14:paraId="6B9EB5C3" w14:textId="77777777" w:rsidR="00240BDD" w:rsidRPr="00C43864" w:rsidRDefault="00000000" w:rsidP="00C43864">
      <w:pPr>
        <w:spacing w:line="360" w:lineRule="auto"/>
        <w:rPr>
          <w:rFonts w:cs="Times New Roman"/>
          <w:sz w:val="24"/>
          <w:szCs w:val="24"/>
        </w:rPr>
      </w:pPr>
      <w:r w:rsidRPr="00C43864">
        <w:rPr>
          <w:rFonts w:cs="Times New Roman"/>
          <w:sz w:val="24"/>
          <w:szCs w:val="24"/>
        </w:rPr>
        <w:t>The design balances the six-state diversity better than a uniform macro-only approach. However, the report is a preliminary engineering design rather than a deployment-ready radio plan. Before procurement, the operator must provide real subscriber and traffic data, licensed bandwidth, terrain/clutter maps, site and fibre inventories, service-level agreements and capital/operating cost estimates. The final design should then be validated with radio simulation, field measurements, failover testing and a documented acceptance process.</w:t>
      </w:r>
    </w:p>
    <w:p w14:paraId="42AFF7F2" w14:textId="77777777" w:rsidR="00240BDD" w:rsidRPr="00C43864" w:rsidRDefault="00000000" w:rsidP="00C43864">
      <w:pPr>
        <w:pStyle w:val="Heading2"/>
        <w:spacing w:line="360" w:lineRule="auto"/>
        <w:rPr>
          <w:rFonts w:ascii="Times New Roman" w:hAnsi="Times New Roman" w:cs="Times New Roman"/>
          <w:color w:val="auto"/>
          <w:szCs w:val="24"/>
        </w:rPr>
      </w:pPr>
      <w:r w:rsidRPr="00C43864">
        <w:rPr>
          <w:rFonts w:ascii="Times New Roman" w:hAnsi="Times New Roman" w:cs="Times New Roman"/>
          <w:color w:val="auto"/>
          <w:szCs w:val="24"/>
        </w:rPr>
        <w:t>9.4 Design decisions summary</w:t>
      </w:r>
    </w:p>
    <w:tbl>
      <w:tblPr>
        <w:tblStyle w:val="TableGrid"/>
        <w:tblW w:w="0" w:type="auto"/>
        <w:jc w:val="center"/>
        <w:tblLook w:val="04A0" w:firstRow="1" w:lastRow="0" w:firstColumn="1" w:lastColumn="0" w:noHBand="0" w:noVBand="1"/>
      </w:tblPr>
      <w:tblGrid>
        <w:gridCol w:w="3308"/>
        <w:gridCol w:w="3309"/>
        <w:gridCol w:w="3309"/>
      </w:tblGrid>
      <w:tr w:rsidR="00240BDD" w:rsidRPr="00C43864" w14:paraId="7834604A" w14:textId="77777777">
        <w:trPr>
          <w:jc w:val="center"/>
        </w:trPr>
        <w:tc>
          <w:tcPr>
            <w:tcW w:w="3312" w:type="dxa"/>
            <w:shd w:val="clear" w:color="auto" w:fill="D9EAF7"/>
            <w:vAlign w:val="center"/>
          </w:tcPr>
          <w:p w14:paraId="73C7CD5C"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Decision</w:t>
            </w:r>
          </w:p>
        </w:tc>
        <w:tc>
          <w:tcPr>
            <w:tcW w:w="3312" w:type="dxa"/>
            <w:shd w:val="clear" w:color="auto" w:fill="D9EAF7"/>
            <w:vAlign w:val="center"/>
          </w:tcPr>
          <w:p w14:paraId="531E4971"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Selected approach</w:t>
            </w:r>
          </w:p>
        </w:tc>
        <w:tc>
          <w:tcPr>
            <w:tcW w:w="3312" w:type="dxa"/>
            <w:shd w:val="clear" w:color="auto" w:fill="D9EAF7"/>
            <w:vAlign w:val="center"/>
          </w:tcPr>
          <w:p w14:paraId="4BF45A2D"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Reason</w:t>
            </w:r>
          </w:p>
        </w:tc>
      </w:tr>
      <w:tr w:rsidR="00240BDD" w:rsidRPr="00C43864" w14:paraId="3C7CC7A1" w14:textId="77777777">
        <w:trPr>
          <w:jc w:val="center"/>
        </w:trPr>
        <w:tc>
          <w:tcPr>
            <w:tcW w:w="3312" w:type="dxa"/>
            <w:vAlign w:val="center"/>
          </w:tcPr>
          <w:p w14:paraId="0C5EDEF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Critical priorities</w:t>
            </w:r>
          </w:p>
        </w:tc>
        <w:tc>
          <w:tcPr>
            <w:tcW w:w="3312" w:type="dxa"/>
            <w:vAlign w:val="center"/>
          </w:tcPr>
          <w:p w14:paraId="2E9C426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Coverage and public safety first; then capacity; strict latency/reliability for critical zones; cost managed through sharing</w:t>
            </w:r>
          </w:p>
        </w:tc>
        <w:tc>
          <w:tcPr>
            <w:tcW w:w="3312" w:type="dxa"/>
            <w:vAlign w:val="center"/>
          </w:tcPr>
          <w:p w14:paraId="3BAB7A3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Reflects diverse rural, urban and critical-service requirements</w:t>
            </w:r>
          </w:p>
        </w:tc>
      </w:tr>
      <w:tr w:rsidR="00240BDD" w:rsidRPr="00C43864" w14:paraId="4E577B20" w14:textId="77777777">
        <w:trPr>
          <w:jc w:val="center"/>
        </w:trPr>
        <w:tc>
          <w:tcPr>
            <w:tcW w:w="3312" w:type="dxa"/>
            <w:vAlign w:val="center"/>
          </w:tcPr>
          <w:p w14:paraId="1A034D0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Spectrum</w:t>
            </w:r>
          </w:p>
        </w:tc>
        <w:tc>
          <w:tcPr>
            <w:tcW w:w="3312" w:type="dxa"/>
            <w:vAlign w:val="center"/>
          </w:tcPr>
          <w:p w14:paraId="0BAF8BD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Low-band + mid-band + </w:t>
            </w:r>
            <w:r w:rsidRPr="00C43864">
              <w:rPr>
                <w:rFonts w:cs="Times New Roman"/>
                <w:sz w:val="24"/>
                <w:szCs w:val="24"/>
              </w:rPr>
              <w:lastRenderedPageBreak/>
              <w:t>selective mmWave</w:t>
            </w:r>
          </w:p>
        </w:tc>
        <w:tc>
          <w:tcPr>
            <w:tcW w:w="3312" w:type="dxa"/>
            <w:vAlign w:val="center"/>
          </w:tcPr>
          <w:p w14:paraId="68959A9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 xml:space="preserve">No single band can optimize </w:t>
            </w:r>
            <w:r w:rsidRPr="00C43864">
              <w:rPr>
                <w:rFonts w:cs="Times New Roman"/>
                <w:sz w:val="24"/>
                <w:szCs w:val="24"/>
              </w:rPr>
              <w:lastRenderedPageBreak/>
              <w:t>coverage and capacity everywhere</w:t>
            </w:r>
          </w:p>
        </w:tc>
      </w:tr>
      <w:tr w:rsidR="00240BDD" w:rsidRPr="00C43864" w14:paraId="4FE85C60" w14:textId="77777777">
        <w:trPr>
          <w:jc w:val="center"/>
        </w:trPr>
        <w:tc>
          <w:tcPr>
            <w:tcW w:w="3312" w:type="dxa"/>
            <w:vAlign w:val="center"/>
          </w:tcPr>
          <w:p w14:paraId="0D1B5B4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Architecture</w:t>
            </w:r>
          </w:p>
        </w:tc>
        <w:tc>
          <w:tcPr>
            <w:tcW w:w="3312" w:type="dxa"/>
            <w:vAlign w:val="center"/>
          </w:tcPr>
          <w:p w14:paraId="6D89BF22"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Heterogeneous RAN with 5G Core and local edge</w:t>
            </w:r>
          </w:p>
        </w:tc>
        <w:tc>
          <w:tcPr>
            <w:tcW w:w="3312" w:type="dxa"/>
            <w:vAlign w:val="center"/>
          </w:tcPr>
          <w:p w14:paraId="58765D5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Supports traffic diversity, hotspot capacity and latency-sensitive applications</w:t>
            </w:r>
          </w:p>
        </w:tc>
      </w:tr>
      <w:tr w:rsidR="00240BDD" w:rsidRPr="00C43864" w14:paraId="55514C2B" w14:textId="77777777">
        <w:trPr>
          <w:jc w:val="center"/>
        </w:trPr>
        <w:tc>
          <w:tcPr>
            <w:tcW w:w="3312" w:type="dxa"/>
            <w:vAlign w:val="center"/>
          </w:tcPr>
          <w:p w14:paraId="202CB36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Traffic model</w:t>
            </w:r>
          </w:p>
        </w:tc>
        <w:tc>
          <w:tcPr>
            <w:tcW w:w="3312" w:type="dxa"/>
            <w:vAlign w:val="center"/>
          </w:tcPr>
          <w:p w14:paraId="6DEC53A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Erlang B at 2% target plus packet-throughput model</w:t>
            </w:r>
          </w:p>
        </w:tc>
        <w:tc>
          <w:tcPr>
            <w:tcW w:w="3312" w:type="dxa"/>
            <w:vAlign w:val="center"/>
          </w:tcPr>
          <w:p w14:paraId="1E5245E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Meets assignment requirement while acknowledging model limitations</w:t>
            </w:r>
          </w:p>
        </w:tc>
      </w:tr>
      <w:tr w:rsidR="00240BDD" w:rsidRPr="00C43864" w14:paraId="5DEC156B" w14:textId="77777777">
        <w:trPr>
          <w:jc w:val="center"/>
        </w:trPr>
        <w:tc>
          <w:tcPr>
            <w:tcW w:w="3312" w:type="dxa"/>
            <w:vAlign w:val="center"/>
          </w:tcPr>
          <w:p w14:paraId="2AE3FADE"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Optimization</w:t>
            </w:r>
          </w:p>
        </w:tc>
        <w:tc>
          <w:tcPr>
            <w:tcW w:w="3312" w:type="dxa"/>
            <w:vAlign w:val="center"/>
          </w:tcPr>
          <w:p w14:paraId="071BEA0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AI-assisted closed-loop control with guardrails</w:t>
            </w:r>
          </w:p>
        </w:tc>
        <w:tc>
          <w:tcPr>
            <w:tcW w:w="3312" w:type="dxa"/>
            <w:vAlign w:val="center"/>
          </w:tcPr>
          <w:p w14:paraId="54EE883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Improves load prediction and resource allocation while limiting operational risk</w:t>
            </w:r>
          </w:p>
        </w:tc>
      </w:tr>
      <w:tr w:rsidR="00240BDD" w:rsidRPr="00C43864" w14:paraId="44EB872B" w14:textId="77777777">
        <w:trPr>
          <w:jc w:val="center"/>
        </w:trPr>
        <w:tc>
          <w:tcPr>
            <w:tcW w:w="3312" w:type="dxa"/>
            <w:vAlign w:val="center"/>
          </w:tcPr>
          <w:p w14:paraId="44FEA49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6G pathway</w:t>
            </w:r>
          </w:p>
        </w:tc>
        <w:tc>
          <w:tcPr>
            <w:tcW w:w="3312" w:type="dxa"/>
            <w:vAlign w:val="center"/>
          </w:tcPr>
          <w:p w14:paraId="77FD960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AI-native networking/ISAC pilots, 5G production baseline</w:t>
            </w:r>
          </w:p>
        </w:tc>
        <w:tc>
          <w:tcPr>
            <w:tcW w:w="3312" w:type="dxa"/>
            <w:vAlign w:val="center"/>
          </w:tcPr>
          <w:p w14:paraId="5670EAC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Avoids treating future concepts as currently universal commercial capabilities</w:t>
            </w:r>
          </w:p>
        </w:tc>
      </w:tr>
    </w:tbl>
    <w:p w14:paraId="1AAD6347" w14:textId="77777777" w:rsidR="00240BDD" w:rsidRPr="00C43864" w:rsidRDefault="00240BDD" w:rsidP="00C43864">
      <w:pPr>
        <w:spacing w:line="360" w:lineRule="auto"/>
        <w:rPr>
          <w:rFonts w:cs="Times New Roman"/>
          <w:sz w:val="24"/>
          <w:szCs w:val="24"/>
        </w:rPr>
      </w:pPr>
    </w:p>
    <w:p w14:paraId="08C6486E" w14:textId="77777777" w:rsidR="00240BDD" w:rsidRPr="00C43864" w:rsidRDefault="00000000" w:rsidP="00C43864">
      <w:pPr>
        <w:pStyle w:val="Heading1"/>
        <w:spacing w:line="360" w:lineRule="auto"/>
        <w:rPr>
          <w:rFonts w:ascii="Times New Roman" w:hAnsi="Times New Roman" w:cs="Times New Roman"/>
          <w:color w:val="auto"/>
          <w:sz w:val="24"/>
          <w:szCs w:val="24"/>
        </w:rPr>
      </w:pPr>
      <w:r w:rsidRPr="00C43864">
        <w:rPr>
          <w:rFonts w:ascii="Times New Roman" w:hAnsi="Times New Roman" w:cs="Times New Roman"/>
          <w:color w:val="auto"/>
          <w:sz w:val="24"/>
          <w:szCs w:val="24"/>
        </w:rPr>
        <w:t>References</w:t>
      </w:r>
    </w:p>
    <w:p w14:paraId="39D548D4"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3GPP. (2024). 5G; NR; Overall description; Stage-2 (3GPP TS 38.300, current release). https://www.3gpp.org/</w:t>
      </w:r>
    </w:p>
    <w:p w14:paraId="4657AE94"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3GPP. (2024). System architecture for the 5G System (5GS) (3GPP TS 23.501, current release). https://www.3gpp.org/</w:t>
      </w:r>
    </w:p>
    <w:p w14:paraId="2CD13B22"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3GPP. (2024). Security architecture and procedures for 5G System (3GPP TS 33.501, current release). https://www.3gpp.org/</w:t>
      </w:r>
    </w:p>
    <w:p w14:paraId="71D6593F"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International Telecommunication Union. (2023). Recommendation ITU-R M.2160-0: Framework and overall objectives of the future development of IMT for 2030 and beyond. https://www.itu.int/rec/R-REC-M.2160</w:t>
      </w:r>
    </w:p>
    <w:p w14:paraId="472AB42E"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International Telecommunication Union. (2017). Recommendation ITU-R M.2083-0: IMT vision—Framework and overall objectives of the future development of IMT for 2020 and beyond. https://www.itu.int/rec/R-REC-M.2083</w:t>
      </w:r>
    </w:p>
    <w:p w14:paraId="4C4F30F0"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International Telecommunication Union. (2017). Recommendation ITU-R M.2410-0: Minimum requirements related to technical performance for IMT-2020 radio interface(s). https://www.itu.int/rec/R-REC-M.2410</w:t>
      </w:r>
    </w:p>
    <w:p w14:paraId="15153411"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lastRenderedPageBreak/>
        <w:t>Shannon, C. E. (1948). A mathematical theory of communication. Bell System Technical Journal, 27(3), 379–423; 27(4), 623–656.</w:t>
      </w:r>
    </w:p>
    <w:p w14:paraId="697B3196"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Rappaport, T. S. (2002). Wireless Communications: Principles and Practice (2nd ed.). Prentice Hall.</w:t>
      </w:r>
    </w:p>
    <w:p w14:paraId="362A3749"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Goldsmith, A. (2005). Wireless Communications. Cambridge University Press.</w:t>
      </w:r>
    </w:p>
    <w:p w14:paraId="0C97C5A9"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Holma, H., &amp; Toskala, A. (Eds.). (2011). LTE for UMTS: Evolution to LTE-Advanced (2nd ed.). Wiley.</w:t>
      </w:r>
    </w:p>
    <w:p w14:paraId="3586AB94"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ETSI. (2024). Multi-access Edge Computing (MEC); framework and reference architecture. https://www.etsi.org/technologies/multi-access-edge-computing</w:t>
      </w:r>
    </w:p>
    <w:p w14:paraId="0A7115AD" w14:textId="77777777" w:rsidR="00240BDD" w:rsidRPr="00C43864" w:rsidRDefault="00000000" w:rsidP="00C43864">
      <w:pPr>
        <w:spacing w:line="360" w:lineRule="auto"/>
        <w:ind w:left="360" w:hanging="360"/>
        <w:rPr>
          <w:rFonts w:cs="Times New Roman"/>
          <w:sz w:val="24"/>
          <w:szCs w:val="24"/>
        </w:rPr>
      </w:pPr>
      <w:r w:rsidRPr="00C43864">
        <w:rPr>
          <w:rFonts w:cs="Times New Roman"/>
          <w:sz w:val="24"/>
          <w:szCs w:val="24"/>
        </w:rPr>
        <w:t>3GPP. (2024). Management and orchestration; concepts, requirements and architecture (3GPP TS 28-series). https://www.3gpp.org/</w:t>
      </w:r>
    </w:p>
    <w:p w14:paraId="2F593736" w14:textId="77777777" w:rsidR="00240BDD" w:rsidRPr="00C43864" w:rsidRDefault="00000000" w:rsidP="00C43864">
      <w:pPr>
        <w:pStyle w:val="Heading1"/>
        <w:spacing w:line="360" w:lineRule="auto"/>
        <w:rPr>
          <w:rFonts w:ascii="Times New Roman" w:hAnsi="Times New Roman" w:cs="Times New Roman"/>
          <w:sz w:val="24"/>
          <w:szCs w:val="24"/>
        </w:rPr>
      </w:pPr>
      <w:r w:rsidRPr="00C43864">
        <w:rPr>
          <w:rFonts w:ascii="Times New Roman" w:hAnsi="Times New Roman" w:cs="Times New Roman"/>
          <w:color w:val="auto"/>
          <w:sz w:val="24"/>
          <w:szCs w:val="24"/>
        </w:rPr>
        <w:t>Appendix A – Assumptions and Calculation Notes</w:t>
      </w:r>
    </w:p>
    <w:tbl>
      <w:tblPr>
        <w:tblStyle w:val="TableGrid"/>
        <w:tblW w:w="0" w:type="auto"/>
        <w:jc w:val="center"/>
        <w:tblLook w:val="04A0" w:firstRow="1" w:lastRow="0" w:firstColumn="1" w:lastColumn="0" w:noHBand="0" w:noVBand="1"/>
      </w:tblPr>
      <w:tblGrid>
        <w:gridCol w:w="3308"/>
        <w:gridCol w:w="3309"/>
        <w:gridCol w:w="3309"/>
      </w:tblGrid>
      <w:tr w:rsidR="00240BDD" w:rsidRPr="00C43864" w14:paraId="4E8975A5" w14:textId="77777777">
        <w:trPr>
          <w:jc w:val="center"/>
        </w:trPr>
        <w:tc>
          <w:tcPr>
            <w:tcW w:w="3312" w:type="dxa"/>
            <w:shd w:val="clear" w:color="auto" w:fill="D9EAF7"/>
            <w:vAlign w:val="center"/>
          </w:tcPr>
          <w:p w14:paraId="0CA7D049"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Parameter</w:t>
            </w:r>
          </w:p>
        </w:tc>
        <w:tc>
          <w:tcPr>
            <w:tcW w:w="3312" w:type="dxa"/>
            <w:shd w:val="clear" w:color="auto" w:fill="D9EAF7"/>
            <w:vAlign w:val="center"/>
          </w:tcPr>
          <w:p w14:paraId="1CEE46CE"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Value used</w:t>
            </w:r>
          </w:p>
        </w:tc>
        <w:tc>
          <w:tcPr>
            <w:tcW w:w="3312" w:type="dxa"/>
            <w:shd w:val="clear" w:color="auto" w:fill="D9EAF7"/>
            <w:vAlign w:val="center"/>
          </w:tcPr>
          <w:p w14:paraId="7C1F0ED8" w14:textId="77777777" w:rsidR="00240BDD" w:rsidRPr="00C43864" w:rsidRDefault="00000000" w:rsidP="00C43864">
            <w:pPr>
              <w:spacing w:after="0" w:line="360" w:lineRule="auto"/>
              <w:rPr>
                <w:rFonts w:cs="Times New Roman"/>
                <w:sz w:val="24"/>
                <w:szCs w:val="24"/>
              </w:rPr>
            </w:pPr>
            <w:r w:rsidRPr="00C43864">
              <w:rPr>
                <w:rFonts w:cs="Times New Roman"/>
                <w:b/>
                <w:sz w:val="24"/>
                <w:szCs w:val="24"/>
              </w:rPr>
              <w:t>Status / action before deployment</w:t>
            </w:r>
          </w:p>
        </w:tc>
      </w:tr>
      <w:tr w:rsidR="00240BDD" w:rsidRPr="00C43864" w14:paraId="6E28B2FD" w14:textId="77777777">
        <w:trPr>
          <w:jc w:val="center"/>
        </w:trPr>
        <w:tc>
          <w:tcPr>
            <w:tcW w:w="3312" w:type="dxa"/>
            <w:vAlign w:val="center"/>
          </w:tcPr>
          <w:p w14:paraId="0A731A7B"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Modelled subscribers in Erlang group</w:t>
            </w:r>
          </w:p>
        </w:tc>
        <w:tc>
          <w:tcPr>
            <w:tcW w:w="3312" w:type="dxa"/>
            <w:vAlign w:val="center"/>
          </w:tcPr>
          <w:p w14:paraId="7CCB847F"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5,000</w:t>
            </w:r>
          </w:p>
        </w:tc>
        <w:tc>
          <w:tcPr>
            <w:tcW w:w="3312" w:type="dxa"/>
            <w:vAlign w:val="center"/>
          </w:tcPr>
          <w:p w14:paraId="26A6F599"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Illustrative only; replace with measured group size</w:t>
            </w:r>
          </w:p>
        </w:tc>
      </w:tr>
      <w:tr w:rsidR="00240BDD" w:rsidRPr="00C43864" w14:paraId="7412C756" w14:textId="77777777">
        <w:trPr>
          <w:jc w:val="center"/>
        </w:trPr>
        <w:tc>
          <w:tcPr>
            <w:tcW w:w="3312" w:type="dxa"/>
            <w:vAlign w:val="center"/>
          </w:tcPr>
          <w:p w14:paraId="2A678DE5"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Busy-hour traffic per subscriber</w:t>
            </w:r>
          </w:p>
        </w:tc>
        <w:tc>
          <w:tcPr>
            <w:tcW w:w="3312" w:type="dxa"/>
            <w:vAlign w:val="center"/>
          </w:tcPr>
          <w:p w14:paraId="61BB58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0.02 Erlang</w:t>
            </w:r>
          </w:p>
        </w:tc>
        <w:tc>
          <w:tcPr>
            <w:tcW w:w="3312" w:type="dxa"/>
            <w:vAlign w:val="center"/>
          </w:tcPr>
          <w:p w14:paraId="6B4FEBB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Illustrative only; derive from traffic/holding-time data</w:t>
            </w:r>
          </w:p>
        </w:tc>
      </w:tr>
      <w:tr w:rsidR="00240BDD" w:rsidRPr="00C43864" w14:paraId="1A21F043" w14:textId="77777777">
        <w:trPr>
          <w:jc w:val="center"/>
        </w:trPr>
        <w:tc>
          <w:tcPr>
            <w:tcW w:w="3312" w:type="dxa"/>
            <w:vAlign w:val="center"/>
          </w:tcPr>
          <w:p w14:paraId="0F7611D3"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Target blocking probability</w:t>
            </w:r>
          </w:p>
        </w:tc>
        <w:tc>
          <w:tcPr>
            <w:tcW w:w="3312" w:type="dxa"/>
            <w:vAlign w:val="center"/>
          </w:tcPr>
          <w:p w14:paraId="3F968E9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w:t>
            </w:r>
          </w:p>
        </w:tc>
        <w:tc>
          <w:tcPr>
            <w:tcW w:w="3312" w:type="dxa"/>
            <w:vAlign w:val="center"/>
          </w:tcPr>
          <w:p w14:paraId="0DE80C0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Supplied assignment requirement</w:t>
            </w:r>
          </w:p>
        </w:tc>
      </w:tr>
      <w:tr w:rsidR="00240BDD" w:rsidRPr="00C43864" w14:paraId="0BA7E24A" w14:textId="77777777">
        <w:trPr>
          <w:jc w:val="center"/>
        </w:trPr>
        <w:tc>
          <w:tcPr>
            <w:tcW w:w="3312" w:type="dxa"/>
            <w:vAlign w:val="center"/>
          </w:tcPr>
          <w:p w14:paraId="230B090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Illustrative aggregate active broadband subscribers</w:t>
            </w:r>
          </w:p>
        </w:tc>
        <w:tc>
          <w:tcPr>
            <w:tcW w:w="3312" w:type="dxa"/>
            <w:vAlign w:val="center"/>
          </w:tcPr>
          <w:p w14:paraId="7965ADA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1,000,000</w:t>
            </w:r>
          </w:p>
        </w:tc>
        <w:tc>
          <w:tcPr>
            <w:tcW w:w="3312" w:type="dxa"/>
            <w:vAlign w:val="center"/>
          </w:tcPr>
          <w:p w14:paraId="4CC3B94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Scenario assumption, not a six-state census</w:t>
            </w:r>
          </w:p>
        </w:tc>
      </w:tr>
      <w:tr w:rsidR="00240BDD" w:rsidRPr="00C43864" w14:paraId="69F361A2" w14:textId="77777777">
        <w:trPr>
          <w:jc w:val="center"/>
        </w:trPr>
        <w:tc>
          <w:tcPr>
            <w:tcW w:w="3312" w:type="dxa"/>
            <w:vAlign w:val="center"/>
          </w:tcPr>
          <w:p w14:paraId="42A0F04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Video sessions</w:t>
            </w:r>
          </w:p>
        </w:tc>
        <w:tc>
          <w:tcPr>
            <w:tcW w:w="3312" w:type="dxa"/>
            <w:vAlign w:val="center"/>
          </w:tcPr>
          <w:p w14:paraId="332E7A8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20,000 × 8 Mbps</w:t>
            </w:r>
          </w:p>
        </w:tc>
        <w:tc>
          <w:tcPr>
            <w:tcW w:w="3312" w:type="dxa"/>
            <w:vAlign w:val="center"/>
          </w:tcPr>
          <w:p w14:paraId="191F89B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Scenario assumption</w:t>
            </w:r>
          </w:p>
        </w:tc>
      </w:tr>
      <w:tr w:rsidR="00240BDD" w:rsidRPr="00C43864" w14:paraId="0057B3BB" w14:textId="77777777">
        <w:trPr>
          <w:jc w:val="center"/>
        </w:trPr>
        <w:tc>
          <w:tcPr>
            <w:tcW w:w="3312" w:type="dxa"/>
            <w:vAlign w:val="center"/>
          </w:tcPr>
          <w:p w14:paraId="38F5857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Transport sessions</w:t>
            </w:r>
          </w:p>
        </w:tc>
        <w:tc>
          <w:tcPr>
            <w:tcW w:w="3312" w:type="dxa"/>
            <w:vAlign w:val="center"/>
          </w:tcPr>
          <w:p w14:paraId="3E0E7C4D"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5,000 × 2 Mbps</w:t>
            </w:r>
          </w:p>
        </w:tc>
        <w:tc>
          <w:tcPr>
            <w:tcW w:w="3312" w:type="dxa"/>
            <w:vAlign w:val="center"/>
          </w:tcPr>
          <w:p w14:paraId="4CC36DC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Scenario assumption</w:t>
            </w:r>
          </w:p>
        </w:tc>
      </w:tr>
      <w:tr w:rsidR="00240BDD" w:rsidRPr="00C43864" w14:paraId="23261144" w14:textId="77777777">
        <w:trPr>
          <w:jc w:val="center"/>
        </w:trPr>
        <w:tc>
          <w:tcPr>
            <w:tcW w:w="3312" w:type="dxa"/>
            <w:vAlign w:val="center"/>
          </w:tcPr>
          <w:p w14:paraId="3F96BC2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IoT devices</w:t>
            </w:r>
          </w:p>
        </w:tc>
        <w:tc>
          <w:tcPr>
            <w:tcW w:w="3312" w:type="dxa"/>
            <w:vAlign w:val="center"/>
          </w:tcPr>
          <w:p w14:paraId="14BC753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100,000; 1% concurrency; 0.1 Mbps per active device</w:t>
            </w:r>
          </w:p>
        </w:tc>
        <w:tc>
          <w:tcPr>
            <w:tcW w:w="3312" w:type="dxa"/>
            <w:vAlign w:val="center"/>
          </w:tcPr>
          <w:p w14:paraId="1CE89EF0"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Scenario assumption</w:t>
            </w:r>
          </w:p>
        </w:tc>
      </w:tr>
      <w:tr w:rsidR="00240BDD" w:rsidRPr="00C43864" w14:paraId="32630A71" w14:textId="77777777">
        <w:trPr>
          <w:jc w:val="center"/>
        </w:trPr>
        <w:tc>
          <w:tcPr>
            <w:tcW w:w="3312" w:type="dxa"/>
            <w:vAlign w:val="center"/>
          </w:tcPr>
          <w:p w14:paraId="06711A6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Healthcare video</w:t>
            </w:r>
          </w:p>
        </w:tc>
        <w:tc>
          <w:tcPr>
            <w:tcW w:w="3312" w:type="dxa"/>
            <w:vAlign w:val="center"/>
          </w:tcPr>
          <w:p w14:paraId="3C0E737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1,000 × 8 Mbps</w:t>
            </w:r>
          </w:p>
        </w:tc>
        <w:tc>
          <w:tcPr>
            <w:tcW w:w="3312" w:type="dxa"/>
            <w:vAlign w:val="center"/>
          </w:tcPr>
          <w:p w14:paraId="1170E08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Scenario assumption</w:t>
            </w:r>
          </w:p>
        </w:tc>
      </w:tr>
      <w:tr w:rsidR="00240BDD" w:rsidRPr="00C43864" w14:paraId="4B0BDDB9" w14:textId="77777777">
        <w:trPr>
          <w:jc w:val="center"/>
        </w:trPr>
        <w:tc>
          <w:tcPr>
            <w:tcW w:w="3312" w:type="dxa"/>
            <w:vAlign w:val="center"/>
          </w:tcPr>
          <w:p w14:paraId="1C9451A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Mid-band sector</w:t>
            </w:r>
          </w:p>
        </w:tc>
        <w:tc>
          <w:tcPr>
            <w:tcW w:w="3312" w:type="dxa"/>
            <w:vAlign w:val="center"/>
          </w:tcPr>
          <w:p w14:paraId="010CCA1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100 MHz × </w:t>
            </w:r>
            <w:proofErr w:type="gramStart"/>
            <w:r w:rsidRPr="00C43864">
              <w:rPr>
                <w:rFonts w:cs="Times New Roman"/>
                <w:sz w:val="24"/>
                <w:szCs w:val="24"/>
              </w:rPr>
              <w:t>3 bit</w:t>
            </w:r>
            <w:proofErr w:type="gramEnd"/>
            <w:r w:rsidRPr="00C43864">
              <w:rPr>
                <w:rFonts w:cs="Times New Roman"/>
                <w:sz w:val="24"/>
                <w:szCs w:val="24"/>
              </w:rPr>
              <w:t>/s/Hz = 300 Mbps</w:t>
            </w:r>
          </w:p>
        </w:tc>
        <w:tc>
          <w:tcPr>
            <w:tcW w:w="3312" w:type="dxa"/>
            <w:vAlign w:val="center"/>
          </w:tcPr>
          <w:p w14:paraId="62B168B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Simplified net-capacity estimate</w:t>
            </w:r>
          </w:p>
        </w:tc>
      </w:tr>
      <w:tr w:rsidR="00240BDD" w:rsidRPr="00C43864" w14:paraId="1E129A0C" w14:textId="77777777">
        <w:trPr>
          <w:jc w:val="center"/>
        </w:trPr>
        <w:tc>
          <w:tcPr>
            <w:tcW w:w="3312" w:type="dxa"/>
            <w:vAlign w:val="center"/>
          </w:tcPr>
          <w:p w14:paraId="2145D6F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mmWave sector</w:t>
            </w:r>
          </w:p>
        </w:tc>
        <w:tc>
          <w:tcPr>
            <w:tcW w:w="3312" w:type="dxa"/>
            <w:vAlign w:val="center"/>
          </w:tcPr>
          <w:p w14:paraId="0F5412D4"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 xml:space="preserve">400 MHz × </w:t>
            </w:r>
            <w:proofErr w:type="gramStart"/>
            <w:r w:rsidRPr="00C43864">
              <w:rPr>
                <w:rFonts w:cs="Times New Roman"/>
                <w:sz w:val="24"/>
                <w:szCs w:val="24"/>
              </w:rPr>
              <w:t>4 bit</w:t>
            </w:r>
            <w:proofErr w:type="gramEnd"/>
            <w:r w:rsidRPr="00C43864">
              <w:rPr>
                <w:rFonts w:cs="Times New Roman"/>
                <w:sz w:val="24"/>
                <w:szCs w:val="24"/>
              </w:rPr>
              <w:t>/s/Hz = 1.6 Gbps</w:t>
            </w:r>
          </w:p>
        </w:tc>
        <w:tc>
          <w:tcPr>
            <w:tcW w:w="3312" w:type="dxa"/>
            <w:vAlign w:val="center"/>
          </w:tcPr>
          <w:p w14:paraId="27630DB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Simplified net-capacity estimate</w:t>
            </w:r>
          </w:p>
        </w:tc>
      </w:tr>
      <w:tr w:rsidR="00240BDD" w:rsidRPr="00C43864" w14:paraId="2568FF9F" w14:textId="77777777">
        <w:trPr>
          <w:jc w:val="center"/>
        </w:trPr>
        <w:tc>
          <w:tcPr>
            <w:tcW w:w="3312" w:type="dxa"/>
            <w:vAlign w:val="center"/>
          </w:tcPr>
          <w:p w14:paraId="4AAC936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lastRenderedPageBreak/>
              <w:t>Planning utilization ceiling</w:t>
            </w:r>
          </w:p>
        </w:tc>
        <w:tc>
          <w:tcPr>
            <w:tcW w:w="3312" w:type="dxa"/>
            <w:vAlign w:val="center"/>
          </w:tcPr>
          <w:p w14:paraId="599FB67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70%</w:t>
            </w:r>
          </w:p>
        </w:tc>
        <w:tc>
          <w:tcPr>
            <w:tcW w:w="3312" w:type="dxa"/>
            <w:vAlign w:val="center"/>
          </w:tcPr>
          <w:p w14:paraId="5F283AEA"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Engineering policy assumption</w:t>
            </w:r>
          </w:p>
        </w:tc>
      </w:tr>
      <w:tr w:rsidR="00240BDD" w:rsidRPr="00C43864" w14:paraId="3DA52B83" w14:textId="77777777">
        <w:trPr>
          <w:jc w:val="center"/>
        </w:trPr>
        <w:tc>
          <w:tcPr>
            <w:tcW w:w="3312" w:type="dxa"/>
            <w:vAlign w:val="center"/>
          </w:tcPr>
          <w:p w14:paraId="48233DB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Coverage geometry</w:t>
            </w:r>
          </w:p>
        </w:tc>
        <w:tc>
          <w:tcPr>
            <w:tcW w:w="3312" w:type="dxa"/>
            <w:vAlign w:val="center"/>
          </w:tcPr>
          <w:p w14:paraId="0B039636"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Hexagonal cell, A = 2.598R²</w:t>
            </w:r>
          </w:p>
        </w:tc>
        <w:tc>
          <w:tcPr>
            <w:tcW w:w="3312" w:type="dxa"/>
            <w:vAlign w:val="center"/>
          </w:tcPr>
          <w:p w14:paraId="23A64B58"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Idealized; validate with radio planning</w:t>
            </w:r>
          </w:p>
        </w:tc>
      </w:tr>
      <w:tr w:rsidR="00240BDD" w:rsidRPr="00C43864" w14:paraId="3E47176B" w14:textId="77777777">
        <w:trPr>
          <w:jc w:val="center"/>
        </w:trPr>
        <w:tc>
          <w:tcPr>
            <w:tcW w:w="3312" w:type="dxa"/>
            <w:vAlign w:val="center"/>
          </w:tcPr>
          <w:p w14:paraId="04831171"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Path loss</w:t>
            </w:r>
          </w:p>
        </w:tc>
        <w:tc>
          <w:tcPr>
            <w:tcW w:w="3312" w:type="dxa"/>
            <w:vAlign w:val="center"/>
          </w:tcPr>
          <w:p w14:paraId="3340CF27"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Free-space path loss</w:t>
            </w:r>
          </w:p>
        </w:tc>
        <w:tc>
          <w:tcPr>
            <w:tcW w:w="3312" w:type="dxa"/>
            <w:vAlign w:val="center"/>
          </w:tcPr>
          <w:p w14:paraId="5857E05C" w14:textId="77777777" w:rsidR="00240BDD" w:rsidRPr="00C43864" w:rsidRDefault="00000000" w:rsidP="00C43864">
            <w:pPr>
              <w:spacing w:after="0" w:line="360" w:lineRule="auto"/>
              <w:rPr>
                <w:rFonts w:cs="Times New Roman"/>
                <w:sz w:val="24"/>
                <w:szCs w:val="24"/>
              </w:rPr>
            </w:pPr>
            <w:r w:rsidRPr="00C43864">
              <w:rPr>
                <w:rFonts w:cs="Times New Roman"/>
                <w:sz w:val="24"/>
                <w:szCs w:val="24"/>
              </w:rPr>
              <w:t>Use calibrated propagation models and field measurements</w:t>
            </w:r>
          </w:p>
        </w:tc>
      </w:tr>
    </w:tbl>
    <w:p w14:paraId="485A3039" w14:textId="77777777" w:rsidR="00240BDD" w:rsidRPr="00C43864" w:rsidRDefault="00240BDD" w:rsidP="00C43864">
      <w:pPr>
        <w:spacing w:line="360" w:lineRule="auto"/>
        <w:rPr>
          <w:rFonts w:cs="Times New Roman"/>
          <w:sz w:val="24"/>
          <w:szCs w:val="24"/>
        </w:rPr>
      </w:pPr>
    </w:p>
    <w:p w14:paraId="46F8D811" w14:textId="77777777" w:rsidR="00240BDD" w:rsidRDefault="00000000" w:rsidP="00C43864">
      <w:pPr>
        <w:spacing w:line="360" w:lineRule="auto"/>
      </w:pPr>
      <w:r w:rsidRPr="00C43864">
        <w:rPr>
          <w:rFonts w:cs="Times New Roman"/>
          <w:sz w:val="24"/>
          <w:szCs w:val="24"/>
        </w:rPr>
        <w:t>Numerical interpretation note: the report intentionally distinguishes assumed inputs from calculated outputs. A technically defensible final submission should retain that distinction and update the assumptions if the instructor provides actual subscriber counts, busy-hour traffic, channel</w:t>
      </w:r>
      <w:r>
        <w:t xml:space="preserve"> inventory or state-wise bandwidth.</w:t>
      </w:r>
    </w:p>
    <w:sectPr w:rsidR="00240BDD"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DD9DB7" w14:textId="77777777" w:rsidR="000E1C26" w:rsidRDefault="000E1C26">
      <w:pPr>
        <w:spacing w:after="0" w:line="240" w:lineRule="auto"/>
      </w:pPr>
      <w:r>
        <w:separator/>
      </w:r>
    </w:p>
  </w:endnote>
  <w:endnote w:type="continuationSeparator" w:id="0">
    <w:p w14:paraId="420B055A" w14:textId="77777777" w:rsidR="000E1C26" w:rsidRDefault="000E1C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CD395C" w14:textId="77777777" w:rsidR="00240BDD" w:rsidRDefault="00000000">
    <w:pPr>
      <w:pStyle w:val="Footer"/>
      <w:jc w:val="center"/>
    </w:pPr>
    <w:r>
      <w:rPr>
        <w:sz w:val="18"/>
      </w:rPr>
      <w:t xml:space="preserve">CO1 Cellular Network Design </w:t>
    </w:r>
    <w:proofErr w:type="gramStart"/>
    <w:r>
      <w:rPr>
        <w:sz w:val="18"/>
      </w:rPr>
      <w:t>Report  |</w:t>
    </w:r>
    <w:proofErr w:type="gramEnd"/>
    <w:r>
      <w:rPr>
        <w:sz w:val="18"/>
      </w:rPr>
      <w:t xml:space="preserve">  Page </w:t>
    </w:r>
    <w:r>
      <w:rPr>
        <w:sz w:val="18"/>
      </w:rPr>
      <w:fldChar w:fldCharType="begin"/>
    </w:r>
    <w:r>
      <w:rPr>
        <w:sz w:val="18"/>
      </w:rPr>
      <w:instrText xml:space="preserve"> PAGE </w:instrText>
    </w:r>
    <w:r w:rsidR="00441F30">
      <w:rPr>
        <w:sz w:val="18"/>
      </w:rPr>
      <w:fldChar w:fldCharType="separate"/>
    </w:r>
    <w:r w:rsidR="00441F30">
      <w:rPr>
        <w:noProof/>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587109" w14:textId="77777777" w:rsidR="000E1C26" w:rsidRDefault="000E1C26">
      <w:pPr>
        <w:spacing w:after="0" w:line="240" w:lineRule="auto"/>
      </w:pPr>
      <w:r>
        <w:separator/>
      </w:r>
    </w:p>
  </w:footnote>
  <w:footnote w:type="continuationSeparator" w:id="0">
    <w:p w14:paraId="64170175" w14:textId="77777777" w:rsidR="000E1C26" w:rsidRDefault="000E1C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16110560">
    <w:abstractNumId w:val="8"/>
  </w:num>
  <w:num w:numId="2" w16cid:durableId="1023626197">
    <w:abstractNumId w:val="6"/>
  </w:num>
  <w:num w:numId="3" w16cid:durableId="1212036382">
    <w:abstractNumId w:val="5"/>
  </w:num>
  <w:num w:numId="4" w16cid:durableId="2128424804">
    <w:abstractNumId w:val="4"/>
  </w:num>
  <w:num w:numId="5" w16cid:durableId="629432613">
    <w:abstractNumId w:val="7"/>
  </w:num>
  <w:num w:numId="6" w16cid:durableId="140931916">
    <w:abstractNumId w:val="3"/>
  </w:num>
  <w:num w:numId="7" w16cid:durableId="382606187">
    <w:abstractNumId w:val="2"/>
  </w:num>
  <w:num w:numId="8" w16cid:durableId="1886064203">
    <w:abstractNumId w:val="1"/>
  </w:num>
  <w:num w:numId="9" w16cid:durableId="6206956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E1C26"/>
    <w:rsid w:val="0015074B"/>
    <w:rsid w:val="00240BDD"/>
    <w:rsid w:val="0029639D"/>
    <w:rsid w:val="0032674D"/>
    <w:rsid w:val="00326F90"/>
    <w:rsid w:val="00441F30"/>
    <w:rsid w:val="00AA1D8D"/>
    <w:rsid w:val="00B47730"/>
    <w:rsid w:val="00B948F5"/>
    <w:rsid w:val="00C4386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2ABBED"/>
  <w14:defaultImageDpi w14:val="300"/>
  <w15:docId w15:val="{AC99A70B-BFBD-40A6-A293-1BD63BADD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324" w:lineRule="auto"/>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29</Pages>
  <Words>7171</Words>
  <Characters>40881</Characters>
  <Application>Microsoft Office Word</Application>
  <DocSecurity>0</DocSecurity>
  <Lines>340</Lines>
  <Paragraphs>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47957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jananipriyajananipriya0805@gmail.com</cp:lastModifiedBy>
  <cp:revision>2</cp:revision>
  <dcterms:created xsi:type="dcterms:W3CDTF">2026-10-28T09:18:00Z</dcterms:created>
  <dcterms:modified xsi:type="dcterms:W3CDTF">2026-10-28T09:18:00Z</dcterms:modified>
  <cp:category/>
</cp:coreProperties>
</file>