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2B2B2B"/>
          <w:sz w:val="44"/>
          <w:szCs w:val="44"/>
        </w:rPr>
        <w:t xml:space="preserve">Does Quitting Smoking Cause Weight Gain, and for Whom?</w:t>
      </w:r>
    </w:p>
    <w:p>
      <w:pPr>
        <w:spacing w:after="360"/>
      </w:pPr>
      <w:r>
        <w:rPr>
          <w:color w:val="0F6E56"/>
          <w:sz w:val="28"/>
          <w:szCs w:val="28"/>
        </w:rPr>
        <w:t xml:space="preserve">A causal machine learning analysis of NHEFS along the eight-step pipeline</w:t>
      </w:r>
    </w:p>
    <w:p>
      <w:pPr>
        <w:spacing w:after="120"/>
      </w:pPr>
      <w:r>
        <w:rPr>
          <w:b/>
          <w:bCs/>
        </w:rPr>
        <w:t xml:space="preserve">Background document to the presentation</w:t>
      </w:r>
    </w:p>
    <w:p>
      <w:pPr>
        <w:spacing w:after="120"/>
      </w:pPr>
      <w:r>
        <w:t xml:space="preserve">Jananthan Uthayakumar · MSE Data Science, HSLU · September 2026</w:t>
      </w:r>
    </w:p>
    <w:p>
      <w:pPr>
        <w:spacing w:after="360"/>
      </w:pPr>
      <w:r>
        <w:t xml:space="preserve">Audience of the presentation: the prevention unit of a Swiss health insurer that plans a smoking-cessation programme with optional weight coaching.</w:t>
      </w:r>
    </w:p>
    <w:p>
      <w:pPr>
        <w:pStyle w:val="Heading1"/>
      </w:pPr>
      <w:r>
        <w:t xml:space="preserve">1. Executive summary</w:t>
      </w:r>
    </w:p>
    <w:tbl>
      <w:tblPr>
        <w:tblW w:type="dxa" w:w="9026"/>
        <w:tblBorders>
          <w:top w:val="single" w:color="0F6E56" w:sz="4"/>
          <w:left w:val="single" w:color="0F6E56" w:sz="4"/>
          <w:bottom w:val="single" w:color="0F6E56" w:sz="4"/>
          <w:right w:val="single" w:color="0F6E56" w:sz="4"/>
          <w:insideH w:val="single" w:color="BFBFBF" w:sz="4"/>
          <w:insideV w:val="single" w:color="BFBFBF" w:sz="4"/>
        </w:tblBorders>
      </w:tblPr>
      <w:tblGrid>
        <w:gridCol w:w="9026"/>
      </w:tblGrid>
      <w:tr>
        <w:tc>
          <w:tcPr>
            <w:tcW w:type="dxa" w:w="9026"/>
            <w:shd w:fill="E8F3EF" w:color="auto" w:val="clear"/>
            <w:tcMar>
              <w:top w:type="dxa" w:w="160"/>
              <w:left w:type="dxa" w:w="200"/>
              <w:bottom w:type="dxa" w:w="160"/>
              <w:right w:type="dxa" w:w="200"/>
            </w:tcMar>
          </w:tcPr>
          <w:p>
            <w:pPr>
              <w:spacing w:after="0"/>
            </w:pPr>
            <w:r>
              <w:rPr>
                <w:b/>
                <w:bCs/>
              </w:rPr>
              <w:t xml:space="preserve">Main idea.</w:t>
            </w:r>
            <w:r>
              <w:t xml:space="preserve"> Quitting smoking causes about </w:t>
            </w:r>
            <w:r>
              <w:rPr>
                <w:b/>
                <w:bCs/>
              </w:rPr>
              <w:t xml:space="preserve">3.4 kg</w:t>
            </w:r>
            <w:r>
              <w:t xml:space="preserve"> of additional weight gain over 11 years (95% CI 2.5 to 4.3 kg), and we find no reliable evidence that this effect differs between types of smokers. Weight support therefore belongs in the standard offer for all quitters, not in a targeted programme.</w:t>
            </w:r>
          </w:p>
        </w:tc>
      </w:tr>
    </w:tbl>
    <w:p>
      <w:pPr>
        <w:spacing w:after="120"/>
      </w:pPr>
    </w:p>
    <w:p>
      <w:pPr>
        <w:pStyle w:val="ListParagraph"/>
        <w:numPr>
          <w:ilvl w:val="0"/>
          <w:numId w:val="2"/>
        </w:numPr>
        <w:spacing w:after="80"/>
      </w:pPr>
      <w:r>
        <w:rPr>
          <w:b/>
          <w:bCs/>
        </w:rPr>
        <w:t xml:space="preserve">The raw comparison is misleading.</w:t>
      </w:r>
      <w:r>
        <w:t xml:space="preserve"> Quitters gained 2.5 kg more than continuing smokers, but they were older and smoked less at baseline. Adjusting for these differences shows that the raw comparison understates the effect by about a quarter.</w:t>
      </w:r>
    </w:p>
    <w:p>
      <w:pPr>
        <w:pStyle w:val="ListParagraph"/>
        <w:numPr>
          <w:ilvl w:val="0"/>
          <w:numId w:val="2"/>
        </w:numPr>
        <w:spacing w:after="80"/>
      </w:pPr>
      <w:r>
        <w:rPr>
          <w:b/>
          <w:bCs/>
        </w:rPr>
        <w:t xml:space="preserve">The adjusted number is robust.</w:t>
      </w:r>
      <w:r>
        <w:t xml:space="preserve"> Five estimators agree (3.3 to 3.5 kg), inverse probability weighting reproduces the published estimate of Hernán &amp; Robins (3.4 kg), all five robustness checks pass, and an unmeasured confounder would need about nine times the strength of age to erase the effect.</w:t>
      </w:r>
    </w:p>
    <w:p>
      <w:pPr>
        <w:pStyle w:val="ListParagraph"/>
        <w:numPr>
          <w:ilvl w:val="0"/>
          <w:numId w:val="2"/>
        </w:numPr>
        <w:spacing w:after="80"/>
      </w:pPr>
      <w:r>
        <w:rPr>
          <w:b/>
          <w:bCs/>
        </w:rPr>
        <w:t xml:space="preserve">The effect is not reliably different between smokers.</w:t>
      </w:r>
      <w:r>
        <w:t xml:space="preserve"> Neither smoking intensity, age, sex nor baseline weight shifts the effect in a statistically reliable way (calibration test, RATE and best linear projection). A semi-synthetic check shows that the design would have detected strong heterogeneity, so any real differences are smaller than that.</w:t>
      </w:r>
    </w:p>
    <w:p>
      <w:pPr>
        <w:spacing w:after="120"/>
      </w:pPr>
      <w:r>
        <w:rPr>
          <w:b/>
          <w:bCs/>
        </w:rPr>
        <w:t xml:space="preserve">Implication.</w:t>
      </w:r>
      <w:r>
        <w:t xml:space="preserve"> About 0.3 kg per year is modest compared with the health benefits of quitting. The programme should offer weight support to everyone and not invest in a targeting model.</w:t>
      </w:r>
    </w:p>
    <w:p>
      <w:pPr>
        <w:pStyle w:val="Heading1"/>
      </w:pPr>
      <w:r>
        <w:t xml:space="preserve">2. Context and decision</w:t>
      </w:r>
    </w:p>
    <w:p>
      <w:pPr>
        <w:spacing w:after="120"/>
      </w:pPr>
      <w:r>
        <w:rPr>
          <w:b/>
          <w:bCs/>
        </w:rPr>
        <w:t xml:space="preserve">Situation.</w:t>
      </w:r>
      <w:r>
        <w:t xml:space="preserve"> Quitting is the single most effective step a smoker can take for their health, and the insurer plans a cessation programme.</w:t>
      </w:r>
    </w:p>
    <w:p>
      <w:pPr>
        <w:spacing w:after="120"/>
      </w:pPr>
      <w:r>
        <w:rPr>
          <w:b/>
          <w:bCs/>
        </w:rPr>
        <w:t xml:space="preserve">Complication.</w:t>
      </w:r>
      <w:r>
        <w:t xml:space="preserve"> Fear of weight gain keeps many smokers from quitting, the budget for coaching is limited, and raw data are misleading because people who quit differ systematically from people who continue.</w:t>
      </w:r>
    </w:p>
    <w:p>
      <w:pPr>
        <w:spacing w:after="120"/>
      </w:pPr>
      <w:r>
        <w:rPr>
          <w:b/>
          <w:bCs/>
        </w:rPr>
        <w:t xml:space="preserve">Question.</w:t>
      </w:r>
      <w:r>
        <w:t xml:space="preserve"> How much weight gain does quitting actually cause, and should weight support be offered to everyone or targeted at specific groups?</w:t>
      </w:r>
    </w:p>
    <w:p>
      <w:pPr>
        <w:spacing w:after="120"/>
      </w:pPr>
      <w:r>
        <w:rPr>
          <w:b/>
          <w:bCs/>
        </w:rPr>
        <w:t xml:space="preserve">Structure of this document.</w:t>
      </w:r>
      <w:r>
        <w:t xml:space="preserve"> Sections 3 to 10 follow the eight steps of the causal machine learning pipeline from the lecture: Steps 1 to 4 </w:t>
      </w:r>
      <w:r>
        <w:rPr>
          <w:i/>
          <w:iCs/>
        </w:rPr>
        <w:t xml:space="preserve">identify</w:t>
      </w:r>
      <w:r>
        <w:t xml:space="preserve"> the effect before any model is fitted, Steps 5 to 8 </w:t>
      </w:r>
      <w:r>
        <w:rPr>
          <w:i/>
          <w:iCs/>
        </w:rPr>
        <w:t xml:space="preserve">estimate and interrogate</w:t>
      </w:r>
      <w:r>
        <w:t xml:space="preserve"> it. Limitations, reproducibility and additional figures follow at the end.</w:t>
      </w:r>
    </w:p>
    <w:p>
      <w:pPr>
        <w:pStyle w:val="Heading1"/>
      </w:pPr>
      <w:r>
        <w:t xml:space="preserve">3. Step 1: Research question and data</w:t>
      </w:r>
    </w:p>
    <w:p>
      <w:pPr>
        <w:pStyle w:val="Heading2"/>
      </w:pPr>
      <w:r>
        <w:t xml:space="preserve">3.1 Research question</w:t>
      </w:r>
    </w:p>
    <w:p>
      <w:pPr>
        <w:pStyle w:val="ListParagraph"/>
        <w:numPr>
          <w:ilvl w:val="0"/>
          <w:numId w:val="3"/>
        </w:numPr>
        <w:spacing w:after="80"/>
      </w:pPr>
      <w:r>
        <w:rPr>
          <w:b/>
          <w:bCs/>
        </w:rPr>
        <w:t xml:space="preserve">Primary (ATE):</w:t>
      </w:r>
      <w:r>
        <w:t xml:space="preserve"> By how many kilograms does quitting smoking change weight over roughly 11 years, compared with continuing to smoke?</w:t>
      </w:r>
    </w:p>
    <w:p>
      <w:pPr>
        <w:pStyle w:val="ListParagraph"/>
        <w:numPr>
          <w:ilvl w:val="0"/>
          <w:numId w:val="3"/>
        </w:numPr>
        <w:spacing w:after="80"/>
      </w:pPr>
      <w:r>
        <w:rPr>
          <w:b/>
          <w:bCs/>
        </w:rPr>
        <w:t xml:space="preserve">Secondary (CATE):</w:t>
      </w:r>
      <w:r>
        <w:t xml:space="preserve"> Is the effect larger for some smokers than for others, for example heavy versus light smokers?</w:t>
      </w:r>
    </w:p>
    <w:p>
      <w:pPr>
        <w:pStyle w:val="Heading2"/>
      </w:pPr>
      <w:r>
        <w:t xml:space="preserve">3.2 Target trial</w:t>
      </w:r>
    </w:p>
    <w:p>
      <w:pPr>
        <w:spacing w:after="120"/>
      </w:pPr>
      <w:r>
        <w:t xml:space="preserve">The ideal experiment would randomly assign smokers in 1971 to quitting or to continuing and measure weight change in 1982. NHEFS is its observational counterpart: participants decided themselves whether to quit, which creates confounding, and the timing and method of quitting were not controlled.</w:t>
      </w:r>
    </w:p>
    <w:p>
      <w:pPr>
        <w:pStyle w:val="Heading2"/>
      </w:pPr>
      <w:r>
        <w:t xml:space="preserve">3.3 Data</w:t>
      </w:r>
    </w:p>
    <w:p>
      <w:pPr>
        <w:spacing w:after="120"/>
      </w:pPr>
      <w:r>
        <w:t xml:space="preserve">NHEFS (NHANES I Epidemiologic Follow-up Study, National Center for Health Statistics / CDC) combines a baseline examination in 1971 to 1975 with a follow-up in 1982. We use the subset of 1,629 cigarette smokers aged 25 to 74 curated by Hernán &amp; Robins (2020), loaded through the Python package causallib. The nine confounders are loaded without automatic feature engineering so that all encoding decisions are made explicitly in the models.</w:t>
      </w:r>
    </w:p>
    <w:p>
      <w:pPr>
        <w:keepNext/>
        <w:spacing w:after="80" w:before="160"/>
      </w:pPr>
      <w:r>
        <w:rPr>
          <w:b/>
          <w:bCs/>
          <w:color w:val="7A7A7A"/>
          <w:sz w:val="18"/>
          <w:szCs w:val="18"/>
        </w:rPr>
        <w:t xml:space="preserve">Table 1.</w:t>
      </w:r>
      <w:r>
        <w:rPr>
          <w:color w:val="7A7A7A"/>
          <w:sz w:val="18"/>
          <w:szCs w:val="18"/>
        </w:rPr>
        <w:t xml:space="preserve"> Variables and their roles.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1700"/>
        <w:gridCol w:w="5426"/>
      </w:tblGrid>
      <w:tr>
        <w:trPr>
          <w:tblHeader/>
        </w:trPr>
        <w:tc>
          <w:tcPr>
            <w:tcW w:type="dxa" w:w="1900"/>
            <w:shd w:fill="E8F3EF" w:color="auto" w:val="clear"/>
            <w:tcMar>
              <w:top w:type="dxa" w:w="60"/>
              <w:left w:type="dxa" w:w="100"/>
              <w:bottom w:type="dxa" w:w="60"/>
              <w:right w:type="dxa" w:w="100"/>
            </w:tcMar>
          </w:tcPr>
          <w:p>
            <w:pPr>
              <w:keepNext/>
              <w:jc w:val="left"/>
            </w:pPr>
            <w:r>
              <w:rPr>
                <w:b/>
                <w:bCs/>
                <w:sz w:val="19"/>
                <w:szCs w:val="19"/>
              </w:rPr>
              <w:t xml:space="preserve">Variable</w:t>
            </w:r>
          </w:p>
        </w:tc>
        <w:tc>
          <w:tcPr>
            <w:tcW w:type="dxa" w:w="1700"/>
            <w:shd w:fill="E8F3EF" w:color="auto" w:val="clear"/>
            <w:tcMar>
              <w:top w:type="dxa" w:w="60"/>
              <w:left w:type="dxa" w:w="100"/>
              <w:bottom w:type="dxa" w:w="60"/>
              <w:right w:type="dxa" w:w="100"/>
            </w:tcMar>
          </w:tcPr>
          <w:p>
            <w:pPr>
              <w:keepNext/>
              <w:jc w:val="left"/>
            </w:pPr>
            <w:r>
              <w:rPr>
                <w:b/>
                <w:bCs/>
                <w:sz w:val="19"/>
                <w:szCs w:val="19"/>
              </w:rPr>
              <w:t xml:space="preserve">Role</w:t>
            </w:r>
          </w:p>
        </w:tc>
        <w:tc>
          <w:tcPr>
            <w:tcW w:type="dxa" w:w="5426"/>
            <w:shd w:fill="E8F3EF" w:color="auto" w:val="clear"/>
            <w:tcMar>
              <w:top w:type="dxa" w:w="60"/>
              <w:left w:type="dxa" w:w="100"/>
              <w:bottom w:type="dxa" w:w="60"/>
              <w:right w:type="dxa" w:w="100"/>
            </w:tcMar>
          </w:tcPr>
          <w:p>
            <w:pPr>
              <w:keepNext/>
              <w:jc w:val="left"/>
            </w:pPr>
            <w:r>
              <w:rPr>
                <w:b/>
                <w:bCs/>
                <w:sz w:val="19"/>
                <w:szCs w:val="19"/>
              </w:rPr>
              <w:t xml:space="preserve">Description</w:t>
            </w:r>
          </w:p>
        </w:tc>
      </w:tr>
      <w:tr>
        <w:trPr>
          <w:cantSplit/>
        </w:trPr>
        <w:tc>
          <w:tcPr>
            <w:tcW w:type="dxa" w:w="1900"/>
            <w:tcMar>
              <w:top w:type="dxa" w:w="60"/>
              <w:left w:type="dxa" w:w="100"/>
              <w:bottom w:type="dxa" w:w="60"/>
              <w:right w:type="dxa" w:w="100"/>
            </w:tcMar>
          </w:tcPr>
          <w:p>
            <w:pPr>
              <w:keepNext/>
              <w:jc w:val="left"/>
            </w:pPr>
            <w:r>
              <w:rPr>
                <w:sz w:val="19"/>
                <w:szCs w:val="19"/>
              </w:rPr>
              <w:t xml:space="preserve">qsmk</w:t>
            </w:r>
          </w:p>
        </w:tc>
        <w:tc>
          <w:tcPr>
            <w:tcW w:type="dxa" w:w="1700"/>
            <w:tcMar>
              <w:top w:type="dxa" w:w="60"/>
              <w:left w:type="dxa" w:w="100"/>
              <w:bottom w:type="dxa" w:w="60"/>
              <w:right w:type="dxa" w:w="100"/>
            </w:tcMar>
          </w:tcPr>
          <w:p>
            <w:pPr>
              <w:keepNext/>
              <w:jc w:val="left"/>
            </w:pPr>
            <w:r>
              <w:rPr>
                <w:sz w:val="19"/>
                <w:szCs w:val="19"/>
              </w:rPr>
              <w:t xml:space="preserve">Treatment W</w:t>
            </w:r>
          </w:p>
        </w:tc>
        <w:tc>
          <w:tcPr>
            <w:tcW w:type="dxa" w:w="5426"/>
            <w:tcMar>
              <w:top w:type="dxa" w:w="60"/>
              <w:left w:type="dxa" w:w="100"/>
              <w:bottom w:type="dxa" w:w="60"/>
              <w:right w:type="dxa" w:w="100"/>
            </w:tcMar>
          </w:tcPr>
          <w:p>
            <w:pPr>
              <w:keepNext/>
              <w:jc w:val="left"/>
            </w:pPr>
            <w:r>
              <w:rPr>
                <w:sz w:val="19"/>
                <w:szCs w:val="19"/>
              </w:rPr>
              <w:t xml:space="preserve">Quit smoking between baseline and 1982 (1 = yes)</w:t>
            </w:r>
          </w:p>
        </w:tc>
      </w:tr>
      <w:tr>
        <w:trPr>
          <w:cantSplit/>
        </w:trPr>
        <w:tc>
          <w:tcPr>
            <w:tcW w:type="dxa" w:w="1900"/>
            <w:tcMar>
              <w:top w:type="dxa" w:w="60"/>
              <w:left w:type="dxa" w:w="100"/>
              <w:bottom w:type="dxa" w:w="60"/>
              <w:right w:type="dxa" w:w="100"/>
            </w:tcMar>
          </w:tcPr>
          <w:p>
            <w:pPr>
              <w:keepNext/>
              <w:jc w:val="left"/>
            </w:pPr>
            <w:r>
              <w:rPr>
                <w:sz w:val="19"/>
                <w:szCs w:val="19"/>
              </w:rPr>
              <w:t xml:space="preserve">wt82_71</w:t>
            </w:r>
          </w:p>
        </w:tc>
        <w:tc>
          <w:tcPr>
            <w:tcW w:type="dxa" w:w="1700"/>
            <w:tcMar>
              <w:top w:type="dxa" w:w="60"/>
              <w:left w:type="dxa" w:w="100"/>
              <w:bottom w:type="dxa" w:w="60"/>
              <w:right w:type="dxa" w:w="100"/>
            </w:tcMar>
          </w:tcPr>
          <w:p>
            <w:pPr>
              <w:keepNext/>
              <w:jc w:val="left"/>
            </w:pPr>
            <w:r>
              <w:rPr>
                <w:sz w:val="19"/>
                <w:szCs w:val="19"/>
              </w:rPr>
              <w:t xml:space="preserve">Outcome Y</w:t>
            </w:r>
          </w:p>
        </w:tc>
        <w:tc>
          <w:tcPr>
            <w:tcW w:type="dxa" w:w="5426"/>
            <w:tcMar>
              <w:top w:type="dxa" w:w="60"/>
              <w:left w:type="dxa" w:w="100"/>
              <w:bottom w:type="dxa" w:w="60"/>
              <w:right w:type="dxa" w:w="100"/>
            </w:tcMar>
          </w:tcPr>
          <w:p>
            <w:pPr>
              <w:keepNext/>
              <w:jc w:val="left"/>
            </w:pPr>
            <w:r>
              <w:rPr>
                <w:sz w:val="19"/>
                <w:szCs w:val="19"/>
              </w:rPr>
              <w:t xml:space="preserve">Weight change 1971 to 1982 (kg)</w:t>
            </w:r>
          </w:p>
        </w:tc>
      </w:tr>
      <w:tr>
        <w:trPr>
          <w:cantSplit/>
        </w:trPr>
        <w:tc>
          <w:tcPr>
            <w:tcW w:type="dxa" w:w="1900"/>
            <w:tcMar>
              <w:top w:type="dxa" w:w="60"/>
              <w:left w:type="dxa" w:w="100"/>
              <w:bottom w:type="dxa" w:w="60"/>
              <w:right w:type="dxa" w:w="100"/>
            </w:tcMar>
          </w:tcPr>
          <w:p>
            <w:pPr>
              <w:keepNext/>
              <w:jc w:val="left"/>
            </w:pPr>
            <w:r>
              <w:rPr>
                <w:sz w:val="19"/>
                <w:szCs w:val="19"/>
              </w:rPr>
              <w:t xml:space="preserve">age</w:t>
            </w:r>
          </w:p>
        </w:tc>
        <w:tc>
          <w:tcPr>
            <w:tcW w:type="dxa" w:w="1700"/>
            <w:tcMar>
              <w:top w:type="dxa" w:w="60"/>
              <w:left w:type="dxa" w:w="100"/>
              <w:bottom w:type="dxa" w:w="60"/>
              <w:right w:type="dxa" w:w="100"/>
            </w:tcMar>
          </w:tcPr>
          <w:p>
            <w:pPr>
              <w:keepNext/>
              <w:jc w:val="left"/>
            </w:pPr>
            <w:r>
              <w:rPr>
                <w:sz w:val="19"/>
                <w:szCs w:val="19"/>
              </w:rPr>
              <w:t xml:space="preserve">Confounder</w:t>
            </w:r>
          </w:p>
        </w:tc>
        <w:tc>
          <w:tcPr>
            <w:tcW w:type="dxa" w:w="5426"/>
            <w:tcMar>
              <w:top w:type="dxa" w:w="60"/>
              <w:left w:type="dxa" w:w="100"/>
              <w:bottom w:type="dxa" w:w="60"/>
              <w:right w:type="dxa" w:w="100"/>
            </w:tcMar>
          </w:tcPr>
          <w:p>
            <w:pPr>
              <w:keepNext/>
              <w:jc w:val="left"/>
            </w:pPr>
            <w:r>
              <w:rPr>
                <w:sz w:val="19"/>
                <w:szCs w:val="19"/>
              </w:rPr>
              <w:t xml:space="preserve">Age in 1971 (years)</w:t>
            </w:r>
          </w:p>
        </w:tc>
      </w:tr>
      <w:tr>
        <w:trPr>
          <w:cantSplit/>
        </w:trPr>
        <w:tc>
          <w:tcPr>
            <w:tcW w:type="dxa" w:w="1900"/>
            <w:tcMar>
              <w:top w:type="dxa" w:w="60"/>
              <w:left w:type="dxa" w:w="100"/>
              <w:bottom w:type="dxa" w:w="60"/>
              <w:right w:type="dxa" w:w="100"/>
            </w:tcMar>
          </w:tcPr>
          <w:p>
            <w:pPr>
              <w:keepNext/>
              <w:jc w:val="left"/>
            </w:pPr>
            <w:r>
              <w:rPr>
                <w:sz w:val="19"/>
                <w:szCs w:val="19"/>
              </w:rPr>
              <w:t xml:space="preserve">sex</w:t>
            </w:r>
          </w:p>
        </w:tc>
        <w:tc>
          <w:tcPr>
            <w:tcW w:type="dxa" w:w="1700"/>
            <w:tcMar>
              <w:top w:type="dxa" w:w="60"/>
              <w:left w:type="dxa" w:w="100"/>
              <w:bottom w:type="dxa" w:w="60"/>
              <w:right w:type="dxa" w:w="100"/>
            </w:tcMar>
          </w:tcPr>
          <w:p>
            <w:pPr>
              <w:keepNext/>
              <w:jc w:val="left"/>
            </w:pPr>
            <w:r>
              <w:rPr>
                <w:sz w:val="19"/>
                <w:szCs w:val="19"/>
              </w:rPr>
              <w:t xml:space="preserve">Confounder</w:t>
            </w:r>
          </w:p>
        </w:tc>
        <w:tc>
          <w:tcPr>
            <w:tcW w:type="dxa" w:w="5426"/>
            <w:tcMar>
              <w:top w:type="dxa" w:w="60"/>
              <w:left w:type="dxa" w:w="100"/>
              <w:bottom w:type="dxa" w:w="60"/>
              <w:right w:type="dxa" w:w="100"/>
            </w:tcMar>
          </w:tcPr>
          <w:p>
            <w:pPr>
              <w:keepNext/>
              <w:jc w:val="left"/>
            </w:pPr>
            <w:r>
              <w:rPr>
                <w:sz w:val="19"/>
                <w:szCs w:val="19"/>
              </w:rPr>
              <w:t xml:space="preserve">0 = male, 1 = female</w:t>
            </w:r>
          </w:p>
        </w:tc>
      </w:tr>
      <w:tr>
        <w:trPr>
          <w:cantSplit/>
        </w:trPr>
        <w:tc>
          <w:tcPr>
            <w:tcW w:type="dxa" w:w="1900"/>
            <w:tcMar>
              <w:top w:type="dxa" w:w="60"/>
              <w:left w:type="dxa" w:w="100"/>
              <w:bottom w:type="dxa" w:w="60"/>
              <w:right w:type="dxa" w:w="100"/>
            </w:tcMar>
          </w:tcPr>
          <w:p>
            <w:pPr>
              <w:keepNext/>
              <w:jc w:val="left"/>
            </w:pPr>
            <w:r>
              <w:rPr>
                <w:sz w:val="19"/>
                <w:szCs w:val="19"/>
              </w:rPr>
              <w:t xml:space="preserve">race</w:t>
            </w:r>
          </w:p>
        </w:tc>
        <w:tc>
          <w:tcPr>
            <w:tcW w:type="dxa" w:w="1700"/>
            <w:tcMar>
              <w:top w:type="dxa" w:w="60"/>
              <w:left w:type="dxa" w:w="100"/>
              <w:bottom w:type="dxa" w:w="60"/>
              <w:right w:type="dxa" w:w="100"/>
            </w:tcMar>
          </w:tcPr>
          <w:p>
            <w:pPr>
              <w:keepNext/>
              <w:jc w:val="left"/>
            </w:pPr>
            <w:r>
              <w:rPr>
                <w:sz w:val="19"/>
                <w:szCs w:val="19"/>
              </w:rPr>
              <w:t xml:space="preserve">Confounder</w:t>
            </w:r>
          </w:p>
        </w:tc>
        <w:tc>
          <w:tcPr>
            <w:tcW w:type="dxa" w:w="5426"/>
            <w:tcMar>
              <w:top w:type="dxa" w:w="60"/>
              <w:left w:type="dxa" w:w="100"/>
              <w:bottom w:type="dxa" w:w="60"/>
              <w:right w:type="dxa" w:w="100"/>
            </w:tcMar>
          </w:tcPr>
          <w:p>
            <w:pPr>
              <w:keepNext/>
              <w:jc w:val="left"/>
            </w:pPr>
            <w:r>
              <w:rPr>
                <w:sz w:val="19"/>
                <w:szCs w:val="19"/>
              </w:rPr>
              <w:t xml:space="preserve">0 = white, 1 = black or other</w:t>
            </w:r>
          </w:p>
        </w:tc>
      </w:tr>
      <w:tr>
        <w:trPr>
          <w:cantSplit/>
        </w:trPr>
        <w:tc>
          <w:tcPr>
            <w:tcW w:type="dxa" w:w="1900"/>
            <w:tcMar>
              <w:top w:type="dxa" w:w="60"/>
              <w:left w:type="dxa" w:w="100"/>
              <w:bottom w:type="dxa" w:w="60"/>
              <w:right w:type="dxa" w:w="100"/>
            </w:tcMar>
          </w:tcPr>
          <w:p>
            <w:pPr>
              <w:keepNext/>
              <w:jc w:val="left"/>
            </w:pPr>
            <w:r>
              <w:rPr>
                <w:sz w:val="19"/>
                <w:szCs w:val="19"/>
              </w:rPr>
              <w:t xml:space="preserve">education</w:t>
            </w:r>
          </w:p>
        </w:tc>
        <w:tc>
          <w:tcPr>
            <w:tcW w:type="dxa" w:w="1700"/>
            <w:tcMar>
              <w:top w:type="dxa" w:w="60"/>
              <w:left w:type="dxa" w:w="100"/>
              <w:bottom w:type="dxa" w:w="60"/>
              <w:right w:type="dxa" w:w="100"/>
            </w:tcMar>
          </w:tcPr>
          <w:p>
            <w:pPr>
              <w:keepNext/>
              <w:jc w:val="left"/>
            </w:pPr>
            <w:r>
              <w:rPr>
                <w:sz w:val="19"/>
                <w:szCs w:val="19"/>
              </w:rPr>
              <w:t xml:space="preserve">Confounder</w:t>
            </w:r>
          </w:p>
        </w:tc>
        <w:tc>
          <w:tcPr>
            <w:tcW w:type="dxa" w:w="5426"/>
            <w:tcMar>
              <w:top w:type="dxa" w:w="60"/>
              <w:left w:type="dxa" w:w="100"/>
              <w:bottom w:type="dxa" w:w="60"/>
              <w:right w:type="dxa" w:w="100"/>
            </w:tcMar>
          </w:tcPr>
          <w:p>
            <w:pPr>
              <w:keepNext/>
              <w:jc w:val="left"/>
            </w:pPr>
            <w:r>
              <w:rPr>
                <w:sz w:val="19"/>
                <w:szCs w:val="19"/>
              </w:rPr>
              <w:t xml:space="preserve">Five levels, from 8th grade or less to college or more</w:t>
            </w:r>
          </w:p>
        </w:tc>
      </w:tr>
      <w:tr>
        <w:trPr>
          <w:cantSplit/>
        </w:trPr>
        <w:tc>
          <w:tcPr>
            <w:tcW w:type="dxa" w:w="1900"/>
            <w:tcMar>
              <w:top w:type="dxa" w:w="60"/>
              <w:left w:type="dxa" w:w="100"/>
              <w:bottom w:type="dxa" w:w="60"/>
              <w:right w:type="dxa" w:w="100"/>
            </w:tcMar>
          </w:tcPr>
          <w:p>
            <w:pPr>
              <w:keepNext/>
              <w:jc w:val="left"/>
            </w:pPr>
            <w:r>
              <w:rPr>
                <w:sz w:val="19"/>
                <w:szCs w:val="19"/>
              </w:rPr>
              <w:t xml:space="preserve">smokeintensity</w:t>
            </w:r>
          </w:p>
        </w:tc>
        <w:tc>
          <w:tcPr>
            <w:tcW w:type="dxa" w:w="1700"/>
            <w:tcMar>
              <w:top w:type="dxa" w:w="60"/>
              <w:left w:type="dxa" w:w="100"/>
              <w:bottom w:type="dxa" w:w="60"/>
              <w:right w:type="dxa" w:w="100"/>
            </w:tcMar>
          </w:tcPr>
          <w:p>
            <w:pPr>
              <w:keepNext/>
              <w:jc w:val="left"/>
            </w:pPr>
            <w:r>
              <w:rPr>
                <w:sz w:val="19"/>
                <w:szCs w:val="19"/>
              </w:rPr>
              <w:t xml:space="preserve">Confounder</w:t>
            </w:r>
          </w:p>
        </w:tc>
        <w:tc>
          <w:tcPr>
            <w:tcW w:type="dxa" w:w="5426"/>
            <w:tcMar>
              <w:top w:type="dxa" w:w="60"/>
              <w:left w:type="dxa" w:w="100"/>
              <w:bottom w:type="dxa" w:w="60"/>
              <w:right w:type="dxa" w:w="100"/>
            </w:tcMar>
          </w:tcPr>
          <w:p>
            <w:pPr>
              <w:keepNext/>
              <w:jc w:val="left"/>
            </w:pPr>
            <w:r>
              <w:rPr>
                <w:sz w:val="19"/>
                <w:szCs w:val="19"/>
              </w:rPr>
              <w:t xml:space="preserve">Cigarettes per day in 1971</w:t>
            </w:r>
          </w:p>
        </w:tc>
      </w:tr>
      <w:tr>
        <w:trPr>
          <w:cantSplit/>
        </w:trPr>
        <w:tc>
          <w:tcPr>
            <w:tcW w:type="dxa" w:w="1900"/>
            <w:tcMar>
              <w:top w:type="dxa" w:w="60"/>
              <w:left w:type="dxa" w:w="100"/>
              <w:bottom w:type="dxa" w:w="60"/>
              <w:right w:type="dxa" w:w="100"/>
            </w:tcMar>
          </w:tcPr>
          <w:p>
            <w:pPr>
              <w:keepNext/>
              <w:jc w:val="left"/>
            </w:pPr>
            <w:r>
              <w:rPr>
                <w:sz w:val="19"/>
                <w:szCs w:val="19"/>
              </w:rPr>
              <w:t xml:space="preserve">smokeyrs</w:t>
            </w:r>
          </w:p>
        </w:tc>
        <w:tc>
          <w:tcPr>
            <w:tcW w:type="dxa" w:w="1700"/>
            <w:tcMar>
              <w:top w:type="dxa" w:w="60"/>
              <w:left w:type="dxa" w:w="100"/>
              <w:bottom w:type="dxa" w:w="60"/>
              <w:right w:type="dxa" w:w="100"/>
            </w:tcMar>
          </w:tcPr>
          <w:p>
            <w:pPr>
              <w:keepNext/>
              <w:jc w:val="left"/>
            </w:pPr>
            <w:r>
              <w:rPr>
                <w:sz w:val="19"/>
                <w:szCs w:val="19"/>
              </w:rPr>
              <w:t xml:space="preserve">Confounder</w:t>
            </w:r>
          </w:p>
        </w:tc>
        <w:tc>
          <w:tcPr>
            <w:tcW w:type="dxa" w:w="5426"/>
            <w:tcMar>
              <w:top w:type="dxa" w:w="60"/>
              <w:left w:type="dxa" w:w="100"/>
              <w:bottom w:type="dxa" w:w="60"/>
              <w:right w:type="dxa" w:w="100"/>
            </w:tcMar>
          </w:tcPr>
          <w:p>
            <w:pPr>
              <w:keepNext/>
              <w:jc w:val="left"/>
            </w:pPr>
            <w:r>
              <w:rPr>
                <w:sz w:val="19"/>
                <w:szCs w:val="19"/>
              </w:rPr>
              <w:t xml:space="preserve">Years of smoking</w:t>
            </w:r>
          </w:p>
        </w:tc>
      </w:tr>
      <w:tr>
        <w:trPr>
          <w:cantSplit/>
        </w:trPr>
        <w:tc>
          <w:tcPr>
            <w:tcW w:type="dxa" w:w="1900"/>
            <w:tcMar>
              <w:top w:type="dxa" w:w="60"/>
              <w:left w:type="dxa" w:w="100"/>
              <w:bottom w:type="dxa" w:w="60"/>
              <w:right w:type="dxa" w:w="100"/>
            </w:tcMar>
          </w:tcPr>
          <w:p>
            <w:pPr>
              <w:keepNext/>
              <w:jc w:val="left"/>
            </w:pPr>
            <w:r>
              <w:rPr>
                <w:sz w:val="19"/>
                <w:szCs w:val="19"/>
              </w:rPr>
              <w:t xml:space="preserve">exercise</w:t>
            </w:r>
          </w:p>
        </w:tc>
        <w:tc>
          <w:tcPr>
            <w:tcW w:type="dxa" w:w="1700"/>
            <w:tcMar>
              <w:top w:type="dxa" w:w="60"/>
              <w:left w:type="dxa" w:w="100"/>
              <w:bottom w:type="dxa" w:w="60"/>
              <w:right w:type="dxa" w:w="100"/>
            </w:tcMar>
          </w:tcPr>
          <w:p>
            <w:pPr>
              <w:keepNext/>
              <w:jc w:val="left"/>
            </w:pPr>
            <w:r>
              <w:rPr>
                <w:sz w:val="19"/>
                <w:szCs w:val="19"/>
              </w:rPr>
              <w:t xml:space="preserve">Confounder</w:t>
            </w:r>
          </w:p>
        </w:tc>
        <w:tc>
          <w:tcPr>
            <w:tcW w:type="dxa" w:w="5426"/>
            <w:tcMar>
              <w:top w:type="dxa" w:w="60"/>
              <w:left w:type="dxa" w:w="100"/>
              <w:bottom w:type="dxa" w:w="60"/>
              <w:right w:type="dxa" w:w="100"/>
            </w:tcMar>
          </w:tcPr>
          <w:p>
            <w:pPr>
              <w:keepNext/>
              <w:jc w:val="left"/>
            </w:pPr>
            <w:r>
              <w:rPr>
                <w:sz w:val="19"/>
                <w:szCs w:val="19"/>
              </w:rPr>
              <w:t xml:space="preserve">Recreational exercise in 1971: much, moderate, little or none</w:t>
            </w:r>
          </w:p>
        </w:tc>
      </w:tr>
      <w:tr>
        <w:trPr>
          <w:cantSplit/>
        </w:trPr>
        <w:tc>
          <w:tcPr>
            <w:tcW w:type="dxa" w:w="1900"/>
            <w:tcMar>
              <w:top w:type="dxa" w:w="60"/>
              <w:left w:type="dxa" w:w="100"/>
              <w:bottom w:type="dxa" w:w="60"/>
              <w:right w:type="dxa" w:w="100"/>
            </w:tcMar>
          </w:tcPr>
          <w:p>
            <w:pPr>
              <w:keepNext/>
              <w:jc w:val="left"/>
            </w:pPr>
            <w:r>
              <w:rPr>
                <w:sz w:val="19"/>
                <w:szCs w:val="19"/>
              </w:rPr>
              <w:t xml:space="preserve">active</w:t>
            </w:r>
          </w:p>
        </w:tc>
        <w:tc>
          <w:tcPr>
            <w:tcW w:type="dxa" w:w="1700"/>
            <w:tcMar>
              <w:top w:type="dxa" w:w="60"/>
              <w:left w:type="dxa" w:w="100"/>
              <w:bottom w:type="dxa" w:w="60"/>
              <w:right w:type="dxa" w:w="100"/>
            </w:tcMar>
          </w:tcPr>
          <w:p>
            <w:pPr>
              <w:keepNext/>
              <w:jc w:val="left"/>
            </w:pPr>
            <w:r>
              <w:rPr>
                <w:sz w:val="19"/>
                <w:szCs w:val="19"/>
              </w:rPr>
              <w:t xml:space="preserve">Confounder</w:t>
            </w:r>
          </w:p>
        </w:tc>
        <w:tc>
          <w:tcPr>
            <w:tcW w:type="dxa" w:w="5426"/>
            <w:tcMar>
              <w:top w:type="dxa" w:w="60"/>
              <w:left w:type="dxa" w:w="100"/>
              <w:bottom w:type="dxa" w:w="60"/>
              <w:right w:type="dxa" w:w="100"/>
            </w:tcMar>
          </w:tcPr>
          <w:p>
            <w:pPr>
              <w:keepNext/>
              <w:jc w:val="left"/>
            </w:pPr>
            <w:r>
              <w:rPr>
                <w:sz w:val="19"/>
                <w:szCs w:val="19"/>
              </w:rPr>
              <w:t xml:space="preserve">Daily activity in 1971: very active, moderate, inactive</w:t>
            </w:r>
          </w:p>
        </w:tc>
      </w:tr>
      <w:tr>
        <w:trPr>
          <w:cantSplit/>
        </w:trPr>
        <w:tc>
          <w:tcPr>
            <w:tcW w:type="dxa" w:w="1900"/>
            <w:tcMar>
              <w:top w:type="dxa" w:w="60"/>
              <w:left w:type="dxa" w:w="100"/>
              <w:bottom w:type="dxa" w:w="60"/>
              <w:right w:type="dxa" w:w="100"/>
            </w:tcMar>
          </w:tcPr>
          <w:p>
            <w:pPr>
              <w:keepNext w:val="false"/>
              <w:jc w:val="left"/>
            </w:pPr>
            <w:r>
              <w:rPr>
                <w:sz w:val="19"/>
                <w:szCs w:val="19"/>
              </w:rPr>
              <w:t xml:space="preserve">wt71</w:t>
            </w:r>
          </w:p>
        </w:tc>
        <w:tc>
          <w:tcPr>
            <w:tcW w:type="dxa" w:w="1700"/>
            <w:tcMar>
              <w:top w:type="dxa" w:w="60"/>
              <w:left w:type="dxa" w:w="100"/>
              <w:bottom w:type="dxa" w:w="60"/>
              <w:right w:type="dxa" w:w="100"/>
            </w:tcMar>
          </w:tcPr>
          <w:p>
            <w:pPr>
              <w:keepNext w:val="false"/>
              <w:jc w:val="left"/>
            </w:pPr>
            <w:r>
              <w:rPr>
                <w:sz w:val="19"/>
                <w:szCs w:val="19"/>
              </w:rPr>
              <w:t xml:space="preserve">Confounder</w:t>
            </w:r>
          </w:p>
        </w:tc>
        <w:tc>
          <w:tcPr>
            <w:tcW w:type="dxa" w:w="5426"/>
            <w:tcMar>
              <w:top w:type="dxa" w:w="60"/>
              <w:left w:type="dxa" w:w="100"/>
              <w:bottom w:type="dxa" w:w="60"/>
              <w:right w:type="dxa" w:w="100"/>
            </w:tcMar>
          </w:tcPr>
          <w:p>
            <w:pPr>
              <w:keepNext w:val="false"/>
              <w:jc w:val="left"/>
            </w:pPr>
            <w:r>
              <w:rPr>
                <w:sz w:val="19"/>
                <w:szCs w:val="19"/>
              </w:rPr>
              <w:t xml:space="preserve">Weight in 1971 (kg)</w:t>
            </w:r>
          </w:p>
        </w:tc>
      </w:tr>
    </w:tbl>
    <w:p>
      <w:pPr>
        <w:spacing w:after="120"/>
      </w:pPr>
    </w:p>
    <w:p>
      <w:pPr>
        <w:pStyle w:val="Heading2"/>
      </w:pPr>
      <w:r>
        <w:t xml:space="preserve">3.4 Sample and missing outcomes</w:t>
      </w:r>
    </w:p>
    <w:p>
      <w:pPr>
        <w:keepNext/>
        <w:spacing w:after="80" w:before="160"/>
      </w:pPr>
      <w:r>
        <w:rPr>
          <w:b/>
          <w:bCs/>
          <w:color w:val="7A7A7A"/>
          <w:sz w:val="18"/>
          <w:szCs w:val="18"/>
        </w:rPr>
        <w:t xml:space="preserve">Table 2.</w:t>
      </w:r>
      <w:r>
        <w:rPr>
          <w:color w:val="7A7A7A"/>
          <w:sz w:val="18"/>
          <w:szCs w:val="18"/>
        </w:rPr>
        <w:t xml:space="preserve"> Sample flow and censoring by group.</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626"/>
        <w:gridCol w:w="1800"/>
        <w:gridCol w:w="1800"/>
        <w:gridCol w:w="1800"/>
      </w:tblGrid>
      <w:tr>
        <w:trPr>
          <w:tblHeader/>
        </w:trPr>
        <w:tc>
          <w:tcPr>
            <w:tcW w:type="dxa" w:w="3626"/>
            <w:shd w:fill="E8F3EF" w:color="auto" w:val="clear"/>
            <w:tcMar>
              <w:top w:type="dxa" w:w="60"/>
              <w:left w:type="dxa" w:w="100"/>
              <w:bottom w:type="dxa" w:w="60"/>
              <w:right w:type="dxa" w:w="100"/>
            </w:tcMar>
          </w:tcPr>
          <w:p>
            <w:pPr>
              <w:keepNext/>
              <w:jc w:val="left"/>
            </w:pPr>
          </w:p>
        </w:tc>
        <w:tc>
          <w:tcPr>
            <w:tcW w:type="dxa" w:w="1800"/>
            <w:shd w:fill="E8F3EF" w:color="auto" w:val="clear"/>
            <w:tcMar>
              <w:top w:type="dxa" w:w="60"/>
              <w:left w:type="dxa" w:w="100"/>
              <w:bottom w:type="dxa" w:w="60"/>
              <w:right w:type="dxa" w:w="100"/>
            </w:tcMar>
          </w:tcPr>
          <w:p>
            <w:pPr>
              <w:keepNext/>
              <w:jc w:val="right"/>
            </w:pPr>
            <w:r>
              <w:rPr>
                <w:b/>
                <w:bCs/>
                <w:sz w:val="19"/>
                <w:szCs w:val="19"/>
              </w:rPr>
              <w:t xml:space="preserve">Quit</w:t>
            </w:r>
          </w:p>
        </w:tc>
        <w:tc>
          <w:tcPr>
            <w:tcW w:type="dxa" w:w="1800"/>
            <w:shd w:fill="E8F3EF" w:color="auto" w:val="clear"/>
            <w:tcMar>
              <w:top w:type="dxa" w:w="60"/>
              <w:left w:type="dxa" w:w="100"/>
              <w:bottom w:type="dxa" w:w="60"/>
              <w:right w:type="dxa" w:w="100"/>
            </w:tcMar>
          </w:tcPr>
          <w:p>
            <w:pPr>
              <w:keepNext/>
              <w:jc w:val="right"/>
            </w:pPr>
            <w:r>
              <w:rPr>
                <w:b/>
                <w:bCs/>
                <w:sz w:val="19"/>
                <w:szCs w:val="19"/>
              </w:rPr>
              <w:t xml:space="preserve">Continued</w:t>
            </w:r>
          </w:p>
        </w:tc>
        <w:tc>
          <w:tcPr>
            <w:tcW w:type="dxa" w:w="1800"/>
            <w:shd w:fill="E8F3EF" w:color="auto" w:val="clear"/>
            <w:tcMar>
              <w:top w:type="dxa" w:w="60"/>
              <w:left w:type="dxa" w:w="100"/>
              <w:bottom w:type="dxa" w:w="60"/>
              <w:right w:type="dxa" w:w="100"/>
            </w:tcMar>
          </w:tcPr>
          <w:p>
            <w:pPr>
              <w:keepNext/>
              <w:jc w:val="right"/>
            </w:pPr>
            <w:r>
              <w:rPr>
                <w:b/>
                <w:bCs/>
                <w:sz w:val="19"/>
                <w:szCs w:val="19"/>
              </w:rPr>
              <w:t xml:space="preserve">Total</w:t>
            </w:r>
          </w:p>
        </w:tc>
      </w:tr>
      <w:tr>
        <w:trPr>
          <w:cantSplit/>
        </w:trPr>
        <w:tc>
          <w:tcPr>
            <w:tcW w:type="dxa" w:w="3626"/>
            <w:tcMar>
              <w:top w:type="dxa" w:w="60"/>
              <w:left w:type="dxa" w:w="100"/>
              <w:bottom w:type="dxa" w:w="60"/>
              <w:right w:type="dxa" w:w="100"/>
            </w:tcMar>
          </w:tcPr>
          <w:p>
            <w:pPr>
              <w:keepNext/>
              <w:jc w:val="left"/>
            </w:pPr>
            <w:r>
              <w:rPr>
                <w:sz w:val="19"/>
                <w:szCs w:val="19"/>
              </w:rPr>
              <w:t xml:space="preserve">Full cohort</w:t>
            </w:r>
          </w:p>
        </w:tc>
        <w:tc>
          <w:tcPr>
            <w:tcW w:type="dxa" w:w="1800"/>
            <w:tcMar>
              <w:top w:type="dxa" w:w="60"/>
              <w:left w:type="dxa" w:w="100"/>
              <w:bottom w:type="dxa" w:w="60"/>
              <w:right w:type="dxa" w:w="100"/>
            </w:tcMar>
          </w:tcPr>
          <w:p>
            <w:pPr>
              <w:keepNext/>
              <w:jc w:val="right"/>
            </w:pPr>
            <w:r>
              <w:rPr>
                <w:sz w:val="19"/>
                <w:szCs w:val="19"/>
              </w:rPr>
              <w:t xml:space="preserve">428</w:t>
            </w:r>
          </w:p>
        </w:tc>
        <w:tc>
          <w:tcPr>
            <w:tcW w:type="dxa" w:w="1800"/>
            <w:tcMar>
              <w:top w:type="dxa" w:w="60"/>
              <w:left w:type="dxa" w:w="100"/>
              <w:bottom w:type="dxa" w:w="60"/>
              <w:right w:type="dxa" w:w="100"/>
            </w:tcMar>
          </w:tcPr>
          <w:p>
            <w:pPr>
              <w:keepNext/>
              <w:jc w:val="right"/>
            </w:pPr>
            <w:r>
              <w:rPr>
                <w:sz w:val="19"/>
                <w:szCs w:val="19"/>
              </w:rPr>
              <w:t xml:space="preserve">1,201</w:t>
            </w:r>
          </w:p>
        </w:tc>
        <w:tc>
          <w:tcPr>
            <w:tcW w:type="dxa" w:w="1800"/>
            <w:tcMar>
              <w:top w:type="dxa" w:w="60"/>
              <w:left w:type="dxa" w:w="100"/>
              <w:bottom w:type="dxa" w:w="60"/>
              <w:right w:type="dxa" w:w="100"/>
            </w:tcMar>
          </w:tcPr>
          <w:p>
            <w:pPr>
              <w:keepNext/>
              <w:jc w:val="right"/>
            </w:pPr>
            <w:r>
              <w:rPr>
                <w:sz w:val="19"/>
                <w:szCs w:val="19"/>
              </w:rPr>
              <w:t xml:space="preserve">1,629</w:t>
            </w:r>
          </w:p>
        </w:tc>
      </w:tr>
      <w:tr>
        <w:trPr>
          <w:cantSplit/>
        </w:trPr>
        <w:tc>
          <w:tcPr>
            <w:tcW w:type="dxa" w:w="3626"/>
            <w:tcMar>
              <w:top w:type="dxa" w:w="60"/>
              <w:left w:type="dxa" w:w="100"/>
              <w:bottom w:type="dxa" w:w="60"/>
              <w:right w:type="dxa" w:w="100"/>
            </w:tcMar>
          </w:tcPr>
          <w:p>
            <w:pPr>
              <w:keepNext/>
              <w:jc w:val="left"/>
            </w:pPr>
            <w:r>
              <w:rPr>
                <w:sz w:val="19"/>
                <w:szCs w:val="19"/>
              </w:rPr>
              <w:t xml:space="preserve">Missing 1982 weight (censored)</w:t>
            </w:r>
          </w:p>
        </w:tc>
        <w:tc>
          <w:tcPr>
            <w:tcW w:type="dxa" w:w="1800"/>
            <w:tcMar>
              <w:top w:type="dxa" w:w="60"/>
              <w:left w:type="dxa" w:w="100"/>
              <w:bottom w:type="dxa" w:w="60"/>
              <w:right w:type="dxa" w:w="100"/>
            </w:tcMar>
          </w:tcPr>
          <w:p>
            <w:pPr>
              <w:keepNext/>
              <w:jc w:val="right"/>
            </w:pPr>
            <w:r>
              <w:rPr>
                <w:sz w:val="19"/>
                <w:szCs w:val="19"/>
              </w:rPr>
              <w:t xml:space="preserve">25 (5.8%)</w:t>
            </w:r>
          </w:p>
        </w:tc>
        <w:tc>
          <w:tcPr>
            <w:tcW w:type="dxa" w:w="1800"/>
            <w:tcMar>
              <w:top w:type="dxa" w:w="60"/>
              <w:left w:type="dxa" w:w="100"/>
              <w:bottom w:type="dxa" w:w="60"/>
              <w:right w:type="dxa" w:w="100"/>
            </w:tcMar>
          </w:tcPr>
          <w:p>
            <w:pPr>
              <w:keepNext/>
              <w:jc w:val="right"/>
            </w:pPr>
            <w:r>
              <w:rPr>
                <w:sz w:val="19"/>
                <w:szCs w:val="19"/>
              </w:rPr>
              <w:t xml:space="preserve">38 (3.2%)</w:t>
            </w:r>
          </w:p>
        </w:tc>
        <w:tc>
          <w:tcPr>
            <w:tcW w:type="dxa" w:w="1800"/>
            <w:tcMar>
              <w:top w:type="dxa" w:w="60"/>
              <w:left w:type="dxa" w:w="100"/>
              <w:bottom w:type="dxa" w:w="60"/>
              <w:right w:type="dxa" w:w="100"/>
            </w:tcMar>
          </w:tcPr>
          <w:p>
            <w:pPr>
              <w:keepNext/>
              <w:jc w:val="right"/>
            </w:pPr>
            <w:r>
              <w:rPr>
                <w:sz w:val="19"/>
                <w:szCs w:val="19"/>
              </w:rPr>
              <w:t xml:space="preserve">63 (3.9%)</w:t>
            </w:r>
          </w:p>
        </w:tc>
      </w:tr>
      <w:tr>
        <w:trPr>
          <w:cantSplit/>
        </w:trPr>
        <w:tc>
          <w:tcPr>
            <w:tcW w:type="dxa" w:w="3626"/>
            <w:tcMar>
              <w:top w:type="dxa" w:w="60"/>
              <w:left w:type="dxa" w:w="100"/>
              <w:bottom w:type="dxa" w:w="60"/>
              <w:right w:type="dxa" w:w="100"/>
            </w:tcMar>
          </w:tcPr>
          <w:p>
            <w:pPr>
              <w:keepNext/>
              <w:jc w:val="left"/>
            </w:pPr>
            <w:r>
              <w:rPr>
                <w:sz w:val="19"/>
                <w:szCs w:val="19"/>
              </w:rPr>
              <w:t xml:space="preserve">Analysis sample</w:t>
            </w:r>
          </w:p>
        </w:tc>
        <w:tc>
          <w:tcPr>
            <w:tcW w:type="dxa" w:w="1800"/>
            <w:tcMar>
              <w:top w:type="dxa" w:w="60"/>
              <w:left w:type="dxa" w:w="100"/>
              <w:bottom w:type="dxa" w:w="60"/>
              <w:right w:type="dxa" w:w="100"/>
            </w:tcMar>
          </w:tcPr>
          <w:p>
            <w:pPr>
              <w:keepNext/>
              <w:jc w:val="right"/>
            </w:pPr>
            <w:r>
              <w:rPr>
                <w:sz w:val="19"/>
                <w:szCs w:val="19"/>
              </w:rPr>
              <w:t xml:space="preserve">403</w:t>
            </w:r>
          </w:p>
        </w:tc>
        <w:tc>
          <w:tcPr>
            <w:tcW w:type="dxa" w:w="1800"/>
            <w:tcMar>
              <w:top w:type="dxa" w:w="60"/>
              <w:left w:type="dxa" w:w="100"/>
              <w:bottom w:type="dxa" w:w="60"/>
              <w:right w:type="dxa" w:w="100"/>
            </w:tcMar>
          </w:tcPr>
          <w:p>
            <w:pPr>
              <w:keepNext/>
              <w:jc w:val="right"/>
            </w:pPr>
            <w:r>
              <w:rPr>
                <w:sz w:val="19"/>
                <w:szCs w:val="19"/>
              </w:rPr>
              <w:t xml:space="preserve">1,163</w:t>
            </w:r>
          </w:p>
        </w:tc>
        <w:tc>
          <w:tcPr>
            <w:tcW w:type="dxa" w:w="1800"/>
            <w:tcMar>
              <w:top w:type="dxa" w:w="60"/>
              <w:left w:type="dxa" w:w="100"/>
              <w:bottom w:type="dxa" w:w="60"/>
              <w:right w:type="dxa" w:w="100"/>
            </w:tcMar>
          </w:tcPr>
          <w:p>
            <w:pPr>
              <w:keepNext/>
              <w:jc w:val="right"/>
            </w:pPr>
            <w:r>
              <w:rPr>
                <w:sz w:val="19"/>
                <w:szCs w:val="19"/>
              </w:rPr>
              <w:t xml:space="preserve">1,566</w:t>
            </w:r>
          </w:p>
        </w:tc>
      </w:tr>
      <w:tr>
        <w:trPr>
          <w:cantSplit/>
        </w:trPr>
        <w:tc>
          <w:tcPr>
            <w:tcW w:type="dxa" w:w="3626"/>
            <w:tcMar>
              <w:top w:type="dxa" w:w="60"/>
              <w:left w:type="dxa" w:w="100"/>
              <w:bottom w:type="dxa" w:w="60"/>
              <w:right w:type="dxa" w:w="100"/>
            </w:tcMar>
          </w:tcPr>
          <w:p>
            <w:pPr>
              <w:keepNext w:val="false"/>
              <w:jc w:val="left"/>
            </w:pPr>
            <w:r>
              <w:rPr>
                <w:sz w:val="19"/>
                <w:szCs w:val="19"/>
              </w:rPr>
              <w:t xml:space="preserve">Mean weight change (kg)</w:t>
            </w:r>
          </w:p>
        </w:tc>
        <w:tc>
          <w:tcPr>
            <w:tcW w:type="dxa" w:w="1800"/>
            <w:tcMar>
              <w:top w:type="dxa" w:w="60"/>
              <w:left w:type="dxa" w:w="100"/>
              <w:bottom w:type="dxa" w:w="60"/>
              <w:right w:type="dxa" w:w="100"/>
            </w:tcMar>
          </w:tcPr>
          <w:p>
            <w:pPr>
              <w:keepNext w:val="false"/>
              <w:jc w:val="right"/>
            </w:pPr>
            <w:r>
              <w:rPr>
                <w:sz w:val="19"/>
                <w:szCs w:val="19"/>
              </w:rPr>
              <w:t xml:space="preserve">+4.53</w:t>
            </w:r>
          </w:p>
        </w:tc>
        <w:tc>
          <w:tcPr>
            <w:tcW w:type="dxa" w:w="1800"/>
            <w:tcMar>
              <w:top w:type="dxa" w:w="60"/>
              <w:left w:type="dxa" w:w="100"/>
              <w:bottom w:type="dxa" w:w="60"/>
              <w:right w:type="dxa" w:w="100"/>
            </w:tcMar>
          </w:tcPr>
          <w:p>
            <w:pPr>
              <w:keepNext w:val="false"/>
              <w:jc w:val="right"/>
            </w:pPr>
            <w:r>
              <w:rPr>
                <w:sz w:val="19"/>
                <w:szCs w:val="19"/>
              </w:rPr>
              <w:t xml:space="preserve">+1.98</w:t>
            </w:r>
          </w:p>
        </w:tc>
        <w:tc>
          <w:tcPr>
            <w:tcW w:type="dxa" w:w="1800"/>
            <w:tcMar>
              <w:top w:type="dxa" w:w="60"/>
              <w:left w:type="dxa" w:w="100"/>
              <w:bottom w:type="dxa" w:w="60"/>
              <w:right w:type="dxa" w:w="100"/>
            </w:tcMar>
          </w:tcPr>
          <w:p>
            <w:pPr>
              <w:keepNext w:val="false"/>
              <w:jc w:val="right"/>
            </w:pPr>
          </w:p>
        </w:tc>
      </w:tr>
    </w:tbl>
    <w:p>
      <w:pPr>
        <w:spacing w:after="120"/>
      </w:pPr>
    </w:p>
    <w:p>
      <w:pPr>
        <w:spacing w:after="120"/>
      </w:pPr>
      <w:r>
        <w:t xml:space="preserve">Censoring is plausibly informative: quitters are censored almost twice as often, censored people are older (50.3 vs. 43.7 years) and heavier (76.6 vs. 70.8 kg), and the adjusted odds ratio of censoring for quitters is 1.68 (p = 0.072). </w:t>
      </w:r>
      <w:r>
        <w:rPr>
          <w:b/>
          <w:bCs/>
        </w:rPr>
        <w:t xml:space="preserve">Decision:</w:t>
      </w:r>
      <w:r>
        <w:t xml:space="preserve"> the main analysis uses the 1,566 complete cases, as in Hernán &amp; Robins; inverse probability weighting for censoring is reported as a robustness check (Section 9.5).</w:t>
      </w:r>
    </w:p>
    <w:p>
      <w:pPr>
        <w:pStyle w:val="Heading1"/>
      </w:pPr>
      <w:r>
        <w:t xml:space="preserve">4. Step 2: Causal structure</w:t>
      </w:r>
    </w:p>
    <w:p>
      <w:pPr>
        <w:spacing w:after="60" w:before="120"/>
        <w:jc w:val="center"/>
      </w:pPr>
      <w:r>
        <w:drawing>
          <wp:inline distT="0" distB="0" distL="0" distR="0">
            <wp:extent cx="5143500" cy="3505200"/>
            <wp:effectExtent t="0" r="0" b="0" l="0"/>
            <wp:docPr id="1" name="fig02_dag.png" descr="Assumed causal structure. The nine baseline confounders X affect both quitting W and weight change Y; appetite and metabolism M mediate part of the effect; unmeasured confounders U are assumed absent and stress-tested in Section 9.4."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05200"/>
                    </a:xfrm>
                    <a:prstGeom prst="rect">
                      <a:avLst/>
                    </a:prstGeom>
                  </pic:spPr>
                </pic:pic>
              </a:graphicData>
            </a:graphic>
          </wp:inline>
        </w:drawing>
      </w:r>
    </w:p>
    <w:p>
      <w:pPr>
        <w:spacing w:after="200"/>
      </w:pPr>
      <w:r>
        <w:rPr>
          <w:b/>
          <w:bCs/>
          <w:color w:val="7A7A7A"/>
          <w:sz w:val="18"/>
          <w:szCs w:val="18"/>
        </w:rPr>
        <w:t xml:space="preserve">Figure 1.</w:t>
      </w:r>
      <w:r>
        <w:rPr>
          <w:color w:val="7A7A7A"/>
          <w:sz w:val="18"/>
          <w:szCs w:val="18"/>
        </w:rPr>
        <w:t xml:space="preserve"> Assumed causal structure. The nine baseline confounders X affect both quitting W and weight change Y; appetite and metabolism M mediate part of the effect; unmeasured confounders U are assumed absent and stress-tested in Section 9.4.</w:t>
      </w:r>
    </w:p>
    <w:p>
      <w:pPr>
        <w:spacing w:after="120"/>
      </w:pPr>
      <w:r>
        <w:t xml:space="preserve">The DAG is an assumption, not something learned from the data. It distinguishes three kinds of paths between W and Y: </w:t>
      </w:r>
      <w:r>
        <w:rPr>
          <w:b/>
          <w:bCs/>
        </w:rPr>
        <w:t xml:space="preserve">causal paths</w:t>
      </w:r>
      <w:r>
        <w:t xml:space="preserve"> (W → Y and W → M → Y), which we want to keep; </w:t>
      </w:r>
      <w:r>
        <w:rPr>
          <w:b/>
          <w:bCs/>
        </w:rPr>
        <w:t xml:space="preserve">backdoor paths</w:t>
      </w:r>
      <w:r>
        <w:t xml:space="preserve"> through the confounders (W ← X → Y), which must be blocked; and paths through unmeasured variables (W ← U → Y), which cannot be blocked and are only assumed away.</w:t>
      </w:r>
    </w:p>
    <w:p>
      <w:pPr>
        <w:keepNext/>
        <w:spacing w:after="80" w:before="160"/>
      </w:pPr>
      <w:r>
        <w:rPr>
          <w:b/>
          <w:bCs/>
          <w:color w:val="7A7A7A"/>
          <w:sz w:val="18"/>
          <w:szCs w:val="18"/>
        </w:rPr>
        <w:t xml:space="preserve">Table 3.</w:t>
      </w:r>
      <w:r>
        <w:rPr>
          <w:color w:val="7A7A7A"/>
          <w:sz w:val="18"/>
          <w:szCs w:val="18"/>
        </w:rPr>
        <w:t xml:space="preserve"> Why each baseline variable is a confounder.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26"/>
        <w:gridCol w:w="3400"/>
        <w:gridCol w:w="3400"/>
      </w:tblGrid>
      <w:tr>
        <w:trPr>
          <w:tblHeader/>
        </w:trPr>
        <w:tc>
          <w:tcPr>
            <w:tcW w:type="dxa" w:w="2226"/>
            <w:shd w:fill="E8F3EF" w:color="auto" w:val="clear"/>
            <w:tcMar>
              <w:top w:type="dxa" w:w="60"/>
              <w:left w:type="dxa" w:w="100"/>
              <w:bottom w:type="dxa" w:w="60"/>
              <w:right w:type="dxa" w:w="100"/>
            </w:tcMar>
          </w:tcPr>
          <w:p>
            <w:pPr>
              <w:keepNext/>
              <w:jc w:val="left"/>
            </w:pPr>
            <w:r>
              <w:rPr>
                <w:b/>
                <w:bCs/>
                <w:sz w:val="19"/>
                <w:szCs w:val="19"/>
              </w:rPr>
              <w:t xml:space="preserve">Confounder</w:t>
            </w:r>
          </w:p>
        </w:tc>
        <w:tc>
          <w:tcPr>
            <w:tcW w:type="dxa" w:w="3400"/>
            <w:shd w:fill="E8F3EF" w:color="auto" w:val="clear"/>
            <w:tcMar>
              <w:top w:type="dxa" w:w="60"/>
              <w:left w:type="dxa" w:w="100"/>
              <w:bottom w:type="dxa" w:w="60"/>
              <w:right w:type="dxa" w:w="100"/>
            </w:tcMar>
          </w:tcPr>
          <w:p>
            <w:pPr>
              <w:keepNext/>
              <w:jc w:val="left"/>
            </w:pPr>
            <w:r>
              <w:rPr>
                <w:b/>
                <w:bCs/>
                <w:sz w:val="19"/>
                <w:szCs w:val="19"/>
              </w:rPr>
              <w:t xml:space="preserve">Plausible effect on quitting (W)</w:t>
            </w:r>
          </w:p>
        </w:tc>
        <w:tc>
          <w:tcPr>
            <w:tcW w:type="dxa" w:w="3400"/>
            <w:shd w:fill="E8F3EF" w:color="auto" w:val="clear"/>
            <w:tcMar>
              <w:top w:type="dxa" w:w="60"/>
              <w:left w:type="dxa" w:w="100"/>
              <w:bottom w:type="dxa" w:w="60"/>
              <w:right w:type="dxa" w:w="100"/>
            </w:tcMar>
          </w:tcPr>
          <w:p>
            <w:pPr>
              <w:keepNext/>
              <w:jc w:val="left"/>
            </w:pPr>
            <w:r>
              <w:rPr>
                <w:b/>
                <w:bCs/>
                <w:sz w:val="19"/>
                <w:szCs w:val="19"/>
              </w:rPr>
              <w:t xml:space="preserve">Plausible effect on weight change (Y)</w:t>
            </w:r>
          </w:p>
        </w:tc>
      </w:tr>
      <w:tr>
        <w:trPr>
          <w:cantSplit/>
        </w:trPr>
        <w:tc>
          <w:tcPr>
            <w:tcW w:type="dxa" w:w="2226"/>
            <w:tcMar>
              <w:top w:type="dxa" w:w="60"/>
              <w:left w:type="dxa" w:w="100"/>
              <w:bottom w:type="dxa" w:w="60"/>
              <w:right w:type="dxa" w:w="100"/>
            </w:tcMar>
          </w:tcPr>
          <w:p>
            <w:pPr>
              <w:keepNext/>
              <w:jc w:val="left"/>
            </w:pPr>
            <w:r>
              <w:rPr>
                <w:sz w:val="19"/>
                <w:szCs w:val="19"/>
              </w:rPr>
              <w:t xml:space="preserve">Age</w:t>
            </w:r>
          </w:p>
        </w:tc>
        <w:tc>
          <w:tcPr>
            <w:tcW w:type="dxa" w:w="3400"/>
            <w:tcMar>
              <w:top w:type="dxa" w:w="60"/>
              <w:left w:type="dxa" w:w="100"/>
              <w:bottom w:type="dxa" w:w="60"/>
              <w:right w:type="dxa" w:w="100"/>
            </w:tcMar>
          </w:tcPr>
          <w:p>
            <w:pPr>
              <w:keepNext/>
              <w:jc w:val="left"/>
            </w:pPr>
            <w:r>
              <w:rPr>
                <w:sz w:val="19"/>
                <w:szCs w:val="19"/>
              </w:rPr>
              <w:t xml:space="preserve">Older smokers are more health-motivated to quit</w:t>
            </w:r>
          </w:p>
        </w:tc>
        <w:tc>
          <w:tcPr>
            <w:tcW w:type="dxa" w:w="3400"/>
            <w:tcMar>
              <w:top w:type="dxa" w:w="60"/>
              <w:left w:type="dxa" w:w="100"/>
              <w:bottom w:type="dxa" w:w="60"/>
              <w:right w:type="dxa" w:w="100"/>
            </w:tcMar>
          </w:tcPr>
          <w:p>
            <w:pPr>
              <w:keepNext/>
              <w:jc w:val="left"/>
            </w:pPr>
            <w:r>
              <w:rPr>
                <w:sz w:val="19"/>
                <w:szCs w:val="19"/>
              </w:rPr>
              <w:t xml:space="preserve">Weight trajectories change with age</w:t>
            </w:r>
          </w:p>
        </w:tc>
      </w:tr>
      <w:tr>
        <w:trPr>
          <w:cantSplit/>
        </w:trPr>
        <w:tc>
          <w:tcPr>
            <w:tcW w:type="dxa" w:w="2226"/>
            <w:tcMar>
              <w:top w:type="dxa" w:w="60"/>
              <w:left w:type="dxa" w:w="100"/>
              <w:bottom w:type="dxa" w:w="60"/>
              <w:right w:type="dxa" w:w="100"/>
            </w:tcMar>
          </w:tcPr>
          <w:p>
            <w:pPr>
              <w:keepNext/>
              <w:jc w:val="left"/>
            </w:pPr>
            <w:r>
              <w:rPr>
                <w:sz w:val="19"/>
                <w:szCs w:val="19"/>
              </w:rPr>
              <w:t xml:space="preserve">Sex</w:t>
            </w:r>
          </w:p>
        </w:tc>
        <w:tc>
          <w:tcPr>
            <w:tcW w:type="dxa" w:w="3400"/>
            <w:tcMar>
              <w:top w:type="dxa" w:w="60"/>
              <w:left w:type="dxa" w:w="100"/>
              <w:bottom w:type="dxa" w:w="60"/>
              <w:right w:type="dxa" w:w="100"/>
            </w:tcMar>
          </w:tcPr>
          <w:p>
            <w:pPr>
              <w:keepNext/>
              <w:jc w:val="left"/>
            </w:pPr>
            <w:r>
              <w:rPr>
                <w:sz w:val="19"/>
                <w:szCs w:val="19"/>
              </w:rPr>
              <w:t xml:space="preserve">Quitting rates differ by sex</w:t>
            </w:r>
          </w:p>
        </w:tc>
        <w:tc>
          <w:tcPr>
            <w:tcW w:type="dxa" w:w="3400"/>
            <w:tcMar>
              <w:top w:type="dxa" w:w="60"/>
              <w:left w:type="dxa" w:w="100"/>
              <w:bottom w:type="dxa" w:w="60"/>
              <w:right w:type="dxa" w:w="100"/>
            </w:tcMar>
          </w:tcPr>
          <w:p>
            <w:pPr>
              <w:keepNext/>
              <w:jc w:val="left"/>
            </w:pPr>
            <w:r>
              <w:rPr>
                <w:sz w:val="19"/>
                <w:szCs w:val="19"/>
              </w:rPr>
              <w:t xml:space="preserve">Sex-specific weight dynamics</w:t>
            </w:r>
          </w:p>
        </w:tc>
      </w:tr>
      <w:tr>
        <w:trPr>
          <w:cantSplit/>
        </w:trPr>
        <w:tc>
          <w:tcPr>
            <w:tcW w:type="dxa" w:w="2226"/>
            <w:tcMar>
              <w:top w:type="dxa" w:w="60"/>
              <w:left w:type="dxa" w:w="100"/>
              <w:bottom w:type="dxa" w:w="60"/>
              <w:right w:type="dxa" w:w="100"/>
            </w:tcMar>
          </w:tcPr>
          <w:p>
            <w:pPr>
              <w:keepNext/>
              <w:jc w:val="left"/>
            </w:pPr>
            <w:r>
              <w:rPr>
                <w:sz w:val="19"/>
                <w:szCs w:val="19"/>
              </w:rPr>
              <w:t xml:space="preserve">Race</w:t>
            </w:r>
          </w:p>
        </w:tc>
        <w:tc>
          <w:tcPr>
            <w:tcW w:type="dxa" w:w="3400"/>
            <w:tcMar>
              <w:top w:type="dxa" w:w="60"/>
              <w:left w:type="dxa" w:w="100"/>
              <w:bottom w:type="dxa" w:w="60"/>
              <w:right w:type="dxa" w:w="100"/>
            </w:tcMar>
          </w:tcPr>
          <w:p>
            <w:pPr>
              <w:keepNext/>
              <w:jc w:val="left"/>
            </w:pPr>
            <w:r>
              <w:rPr>
                <w:sz w:val="19"/>
                <w:szCs w:val="19"/>
              </w:rPr>
              <w:t xml:space="preserve">Social context of smoking and quitting</w:t>
            </w:r>
          </w:p>
        </w:tc>
        <w:tc>
          <w:tcPr>
            <w:tcW w:type="dxa" w:w="3400"/>
            <w:tcMar>
              <w:top w:type="dxa" w:w="60"/>
              <w:left w:type="dxa" w:w="100"/>
              <w:bottom w:type="dxa" w:w="60"/>
              <w:right w:type="dxa" w:w="100"/>
            </w:tcMar>
          </w:tcPr>
          <w:p>
            <w:pPr>
              <w:keepNext/>
              <w:jc w:val="left"/>
            </w:pPr>
            <w:r>
              <w:rPr>
                <w:sz w:val="19"/>
                <w:szCs w:val="19"/>
              </w:rPr>
              <w:t xml:space="preserve">Differences in weight trajectories</w:t>
            </w:r>
          </w:p>
        </w:tc>
      </w:tr>
      <w:tr>
        <w:trPr>
          <w:cantSplit/>
        </w:trPr>
        <w:tc>
          <w:tcPr>
            <w:tcW w:type="dxa" w:w="2226"/>
            <w:tcMar>
              <w:top w:type="dxa" w:w="60"/>
              <w:left w:type="dxa" w:w="100"/>
              <w:bottom w:type="dxa" w:w="60"/>
              <w:right w:type="dxa" w:w="100"/>
            </w:tcMar>
          </w:tcPr>
          <w:p>
            <w:pPr>
              <w:keepNext/>
              <w:jc w:val="left"/>
            </w:pPr>
            <w:r>
              <w:rPr>
                <w:sz w:val="19"/>
                <w:szCs w:val="19"/>
              </w:rPr>
              <w:t xml:space="preserve">Education</w:t>
            </w:r>
          </w:p>
        </w:tc>
        <w:tc>
          <w:tcPr>
            <w:tcW w:type="dxa" w:w="3400"/>
            <w:tcMar>
              <w:top w:type="dxa" w:w="60"/>
              <w:left w:type="dxa" w:w="100"/>
              <w:bottom w:type="dxa" w:w="60"/>
              <w:right w:type="dxa" w:w="100"/>
            </w:tcMar>
          </w:tcPr>
          <w:p>
            <w:pPr>
              <w:keepNext/>
              <w:jc w:val="left"/>
            </w:pPr>
            <w:r>
              <w:rPr>
                <w:sz w:val="19"/>
                <w:szCs w:val="19"/>
              </w:rPr>
              <w:t xml:space="preserve">Education predicts quitting</w:t>
            </w:r>
          </w:p>
        </w:tc>
        <w:tc>
          <w:tcPr>
            <w:tcW w:type="dxa" w:w="3400"/>
            <w:tcMar>
              <w:top w:type="dxa" w:w="60"/>
              <w:left w:type="dxa" w:w="100"/>
              <w:bottom w:type="dxa" w:w="60"/>
              <w:right w:type="dxa" w:w="100"/>
            </w:tcMar>
          </w:tcPr>
          <w:p>
            <w:pPr>
              <w:keepNext/>
              <w:jc w:val="left"/>
            </w:pPr>
            <w:r>
              <w:rPr>
                <w:sz w:val="19"/>
                <w:szCs w:val="19"/>
              </w:rPr>
              <w:t xml:space="preserve">Education predicts diet and activity</w:t>
            </w:r>
          </w:p>
        </w:tc>
      </w:tr>
      <w:tr>
        <w:trPr>
          <w:cantSplit/>
        </w:trPr>
        <w:tc>
          <w:tcPr>
            <w:tcW w:type="dxa" w:w="2226"/>
            <w:tcMar>
              <w:top w:type="dxa" w:w="60"/>
              <w:left w:type="dxa" w:w="100"/>
              <w:bottom w:type="dxa" w:w="60"/>
              <w:right w:type="dxa" w:w="100"/>
            </w:tcMar>
          </w:tcPr>
          <w:p>
            <w:pPr>
              <w:keepNext/>
              <w:jc w:val="left"/>
            </w:pPr>
            <w:r>
              <w:rPr>
                <w:sz w:val="19"/>
                <w:szCs w:val="19"/>
              </w:rPr>
              <w:t xml:space="preserve">Cigarettes per day</w:t>
            </w:r>
          </w:p>
        </w:tc>
        <w:tc>
          <w:tcPr>
            <w:tcW w:type="dxa" w:w="3400"/>
            <w:tcMar>
              <w:top w:type="dxa" w:w="60"/>
              <w:left w:type="dxa" w:w="100"/>
              <w:bottom w:type="dxa" w:w="60"/>
              <w:right w:type="dxa" w:w="100"/>
            </w:tcMar>
          </w:tcPr>
          <w:p>
            <w:pPr>
              <w:keepNext/>
              <w:jc w:val="left"/>
            </w:pPr>
            <w:r>
              <w:rPr>
                <w:sz w:val="19"/>
                <w:szCs w:val="19"/>
              </w:rPr>
              <w:t xml:space="preserve">Light smokers quit more easily</w:t>
            </w:r>
          </w:p>
        </w:tc>
        <w:tc>
          <w:tcPr>
            <w:tcW w:type="dxa" w:w="3400"/>
            <w:tcMar>
              <w:top w:type="dxa" w:w="60"/>
              <w:left w:type="dxa" w:w="100"/>
              <w:bottom w:type="dxa" w:w="60"/>
              <w:right w:type="dxa" w:w="100"/>
            </w:tcMar>
          </w:tcPr>
          <w:p>
            <w:pPr>
              <w:keepNext/>
              <w:jc w:val="left"/>
            </w:pPr>
            <w:r>
              <w:rPr>
                <w:sz w:val="19"/>
                <w:szCs w:val="19"/>
              </w:rPr>
              <w:t xml:space="preserve">Nicotine dose affects metabolism and appetite</w:t>
            </w:r>
          </w:p>
        </w:tc>
      </w:tr>
      <w:tr>
        <w:trPr>
          <w:cantSplit/>
        </w:trPr>
        <w:tc>
          <w:tcPr>
            <w:tcW w:type="dxa" w:w="2226"/>
            <w:tcMar>
              <w:top w:type="dxa" w:w="60"/>
              <w:left w:type="dxa" w:w="100"/>
              <w:bottom w:type="dxa" w:w="60"/>
              <w:right w:type="dxa" w:w="100"/>
            </w:tcMar>
          </w:tcPr>
          <w:p>
            <w:pPr>
              <w:keepNext/>
              <w:jc w:val="left"/>
            </w:pPr>
            <w:r>
              <w:rPr>
                <w:sz w:val="19"/>
                <w:szCs w:val="19"/>
              </w:rPr>
              <w:t xml:space="preserve">Years smoked</w:t>
            </w:r>
          </w:p>
        </w:tc>
        <w:tc>
          <w:tcPr>
            <w:tcW w:type="dxa" w:w="3400"/>
            <w:tcMar>
              <w:top w:type="dxa" w:w="60"/>
              <w:left w:type="dxa" w:w="100"/>
              <w:bottom w:type="dxa" w:w="60"/>
              <w:right w:type="dxa" w:w="100"/>
            </w:tcMar>
          </w:tcPr>
          <w:p>
            <w:pPr>
              <w:keepNext/>
              <w:jc w:val="left"/>
            </w:pPr>
            <w:r>
              <w:rPr>
                <w:sz w:val="19"/>
                <w:szCs w:val="19"/>
              </w:rPr>
              <w:t xml:space="preserve">Long-term smokers find quitting harder</w:t>
            </w:r>
          </w:p>
        </w:tc>
        <w:tc>
          <w:tcPr>
            <w:tcW w:type="dxa" w:w="3400"/>
            <w:tcMar>
              <w:top w:type="dxa" w:w="60"/>
              <w:left w:type="dxa" w:w="100"/>
              <w:bottom w:type="dxa" w:w="60"/>
              <w:right w:type="dxa" w:w="100"/>
            </w:tcMar>
          </w:tcPr>
          <w:p>
            <w:pPr>
              <w:keepNext/>
              <w:jc w:val="left"/>
            </w:pPr>
            <w:r>
              <w:rPr>
                <w:sz w:val="19"/>
                <w:szCs w:val="19"/>
              </w:rPr>
              <w:t xml:space="preserve">Long smoking history, different weight dynamics</w:t>
            </w:r>
          </w:p>
        </w:tc>
      </w:tr>
      <w:tr>
        <w:trPr>
          <w:cantSplit/>
        </w:trPr>
        <w:tc>
          <w:tcPr>
            <w:tcW w:type="dxa" w:w="2226"/>
            <w:tcMar>
              <w:top w:type="dxa" w:w="60"/>
              <w:left w:type="dxa" w:w="100"/>
              <w:bottom w:type="dxa" w:w="60"/>
              <w:right w:type="dxa" w:w="100"/>
            </w:tcMar>
          </w:tcPr>
          <w:p>
            <w:pPr>
              <w:keepNext/>
              <w:jc w:val="left"/>
            </w:pPr>
            <w:r>
              <w:rPr>
                <w:sz w:val="19"/>
                <w:szCs w:val="19"/>
              </w:rPr>
              <w:t xml:space="preserve">Exercise, daily activity</w:t>
            </w:r>
          </w:p>
        </w:tc>
        <w:tc>
          <w:tcPr>
            <w:tcW w:type="dxa" w:w="3400"/>
            <w:tcMar>
              <w:top w:type="dxa" w:w="60"/>
              <w:left w:type="dxa" w:w="100"/>
              <w:bottom w:type="dxa" w:w="60"/>
              <w:right w:type="dxa" w:w="100"/>
            </w:tcMar>
          </w:tcPr>
          <w:p>
            <w:pPr>
              <w:keepNext/>
              <w:jc w:val="left"/>
            </w:pPr>
            <w:r>
              <w:rPr>
                <w:sz w:val="19"/>
                <w:szCs w:val="19"/>
              </w:rPr>
              <w:t xml:space="preserve">Healthier lifestyle, more likely to quit</w:t>
            </w:r>
          </w:p>
        </w:tc>
        <w:tc>
          <w:tcPr>
            <w:tcW w:type="dxa" w:w="3400"/>
            <w:tcMar>
              <w:top w:type="dxa" w:w="60"/>
              <w:left w:type="dxa" w:w="100"/>
              <w:bottom w:type="dxa" w:w="60"/>
              <w:right w:type="dxa" w:w="100"/>
            </w:tcMar>
          </w:tcPr>
          <w:p>
            <w:pPr>
              <w:keepNext/>
              <w:jc w:val="left"/>
            </w:pPr>
            <w:r>
              <w:rPr>
                <w:sz w:val="19"/>
                <w:szCs w:val="19"/>
              </w:rPr>
              <w:t xml:space="preserve">Physical activity affects weight change</w:t>
            </w:r>
          </w:p>
        </w:tc>
      </w:tr>
      <w:tr>
        <w:trPr>
          <w:cantSplit/>
        </w:trPr>
        <w:tc>
          <w:tcPr>
            <w:tcW w:type="dxa" w:w="2226"/>
            <w:tcMar>
              <w:top w:type="dxa" w:w="60"/>
              <w:left w:type="dxa" w:w="100"/>
              <w:bottom w:type="dxa" w:w="60"/>
              <w:right w:type="dxa" w:w="100"/>
            </w:tcMar>
          </w:tcPr>
          <w:p>
            <w:pPr>
              <w:keepNext w:val="false"/>
              <w:jc w:val="left"/>
            </w:pPr>
            <w:r>
              <w:rPr>
                <w:sz w:val="19"/>
                <w:szCs w:val="19"/>
              </w:rPr>
              <w:t xml:space="preserve">Weight 1971</w:t>
            </w:r>
          </w:p>
        </w:tc>
        <w:tc>
          <w:tcPr>
            <w:tcW w:type="dxa" w:w="3400"/>
            <w:tcMar>
              <w:top w:type="dxa" w:w="60"/>
              <w:left w:type="dxa" w:w="100"/>
              <w:bottom w:type="dxa" w:w="60"/>
              <w:right w:type="dxa" w:w="100"/>
            </w:tcMar>
          </w:tcPr>
          <w:p>
            <w:pPr>
              <w:keepNext w:val="false"/>
              <w:jc w:val="left"/>
            </w:pPr>
            <w:r>
              <w:rPr>
                <w:sz w:val="19"/>
                <w:szCs w:val="19"/>
              </w:rPr>
              <w:t xml:space="preserve">Weight concerns may deter quitting</w:t>
            </w:r>
          </w:p>
        </w:tc>
        <w:tc>
          <w:tcPr>
            <w:tcW w:type="dxa" w:w="3400"/>
            <w:tcMar>
              <w:top w:type="dxa" w:w="60"/>
              <w:left w:type="dxa" w:w="100"/>
              <w:bottom w:type="dxa" w:w="60"/>
              <w:right w:type="dxa" w:w="100"/>
            </w:tcMar>
          </w:tcPr>
          <w:p>
            <w:pPr>
              <w:keepNext w:val="false"/>
              <w:jc w:val="left"/>
            </w:pPr>
            <w:r>
              <w:rPr>
                <w:sz w:val="19"/>
                <w:szCs w:val="19"/>
              </w:rPr>
              <w:t xml:space="preserve">Baseline weight affects later gain (regression to the mean)</w:t>
            </w:r>
          </w:p>
        </w:tc>
      </w:tr>
    </w:tbl>
    <w:p>
      <w:pPr>
        <w:spacing w:after="120"/>
      </w:pPr>
    </w:p>
    <w:p>
      <w:pPr>
        <w:spacing w:after="120"/>
      </w:pPr>
      <w:r>
        <w:rPr>
          <w:b/>
          <w:bCs/>
        </w:rPr>
        <w:t xml:space="preserve">Mediators</w:t>
      </w:r>
      <w:r>
        <w:t xml:space="preserve"> such as appetite and metabolic rate are part of the effect of interest (the total effect) and are therefore not adjusted for; adjusting for them would remove part of the effect (overadjustment).</w:t>
      </w:r>
    </w:p>
    <w:p>
      <w:pPr>
        <w:spacing w:after="120"/>
      </w:pPr>
      <w:r>
        <w:rPr>
          <w:b/>
          <w:bCs/>
        </w:rPr>
        <w:t xml:space="preserve">Backdoor check.</w:t>
      </w:r>
      <w:r>
        <w:t xml:space="preserve"> A programmatic check of the backdoor criterion (d-separation with networkx) returns </w:t>
      </w:r>
      <w:r>
        <w:rPr>
          <w:i/>
          <w:iCs/>
        </w:rPr>
        <w:t xml:space="preserve">True</w:t>
      </w:r>
      <w:r>
        <w:t xml:space="preserve"> for the assumed DAG, </w:t>
      </w:r>
      <w:r>
        <w:rPr>
          <w:i/>
          <w:iCs/>
        </w:rPr>
        <w:t xml:space="preserve">False</w:t>
      </w:r>
      <w:r>
        <w:t xml:space="preserve"> if an unmeasured confounder U exists (condition ii fails), and </w:t>
      </w:r>
      <w:r>
        <w:rPr>
          <w:i/>
          <w:iCs/>
        </w:rPr>
        <w:t xml:space="preserve">False</w:t>
      </w:r>
      <w:r>
        <w:t xml:space="preserve"> if the mediator M is added to the adjustment set (condition i fails, M is a descendant of W). Because all nine confounders were measured in 1971, before anyone quit, none of them can be a descendant of W: temporal precedence guarantees condition i by design.</w:t>
      </w:r>
    </w:p>
    <w:p>
      <w:pPr>
        <w:pStyle w:val="Heading1"/>
      </w:pPr>
      <w:r>
        <w:t xml:space="preserve">5. Step 3: Causal estimand</w:t>
      </w:r>
    </w:p>
    <w:p>
      <w:pPr>
        <w:pStyle w:val="ListParagraph"/>
        <w:numPr>
          <w:ilvl w:val="0"/>
          <w:numId w:val="3"/>
        </w:numPr>
        <w:spacing w:after="80"/>
      </w:pPr>
      <w:r>
        <w:rPr>
          <w:b/>
          <w:bCs/>
        </w:rPr>
        <w:t xml:space="preserve">Primary: ATE</w:t>
      </w:r>
      <w:r>
        <w:t xml:space="preserve"> = E[Y(1) − Y(0)] among the 1,566 smokers, the average additional weight change if everyone quit versus if nobody quit. The insurer's programme addresses smokers in general, not only those who happened to quit.</w:t>
      </w:r>
    </w:p>
    <w:p>
      <w:pPr>
        <w:pStyle w:val="ListParagraph"/>
        <w:numPr>
          <w:ilvl w:val="0"/>
          <w:numId w:val="3"/>
        </w:numPr>
        <w:spacing w:after="80"/>
      </w:pPr>
      <w:r>
        <w:rPr>
          <w:b/>
          <w:bCs/>
        </w:rPr>
        <w:t xml:space="preserve">Secondary: CATE</w:t>
      </w:r>
      <w:r>
        <w:t xml:space="preserve"> τ(x) = E[Y(1) − Y(0) | X = x], the average effect for people with characteristics x. It is an average for people </w:t>
      </w:r>
      <w:r>
        <w:rPr>
          <w:i/>
          <w:iCs/>
        </w:rPr>
        <w:t xml:space="preserve">like</w:t>
      </w:r>
      <w:r>
        <w:t xml:space="preserve"> x, not the individual effect of one person, which is not identified.</w:t>
      </w:r>
    </w:p>
    <w:p>
      <w:pPr>
        <w:pStyle w:val="ListParagraph"/>
        <w:numPr>
          <w:ilvl w:val="0"/>
          <w:numId w:val="3"/>
        </w:numPr>
        <w:spacing w:after="80"/>
      </w:pPr>
      <w:r>
        <w:rPr>
          <w:b/>
          <w:bCs/>
        </w:rPr>
        <w:t xml:space="preserve">Fallback: ATT</w:t>
      </w:r>
      <w:r>
        <w:t xml:space="preserve"> = E[Y(1) − Y(0) | W = 1], to be used only if overlap failed (Section 6.2).</w:t>
      </w:r>
    </w:p>
    <w:p>
      <w:pPr>
        <w:spacing w:after="120"/>
      </w:pPr>
      <w:r>
        <w:t xml:space="preserve">All effects are measured in kilograms over the follow-up period (about 11 years) and are total effects.</w:t>
      </w:r>
    </w:p>
    <w:p>
      <w:pPr>
        <w:pStyle w:val="Heading1"/>
      </w:pPr>
      <w:r>
        <w:t xml:space="preserve">6. Step 4: Identifying assumptions</w:t>
      </w:r>
    </w:p>
    <w:p>
      <w:pPr>
        <w:spacing w:after="120"/>
      </w:pPr>
      <w:r>
        <w:t xml:space="preserve">Under three assumptions the ATE equals the adjustment formula τ = E_X[ E[Y | W = 1, X] − E[Y | W = 0, X] ], which can be estimated from observed data.</w:t>
      </w:r>
    </w:p>
    <w:p>
      <w:pPr>
        <w:pStyle w:val="Heading2"/>
      </w:pPr>
      <w:r>
        <w:t xml:space="preserve">6.1 SUTVA (argued)</w:t>
      </w:r>
    </w:p>
    <w:p>
      <w:pPr>
        <w:pStyle w:val="ListParagraph"/>
        <w:numPr>
          <w:ilvl w:val="0"/>
          <w:numId w:val="3"/>
        </w:numPr>
        <w:spacing w:after="80"/>
      </w:pPr>
      <w:r>
        <w:rPr>
          <w:b/>
          <w:bCs/>
        </w:rPr>
        <w:t xml:space="preserve">Consistency:</w:t>
      </w:r>
      <w:r>
        <w:t xml:space="preserve"> quitting is a compound treatment (timing, method, relapses). Y(1) therefore refers to quitting as it occurred in this cohort.</w:t>
      </w:r>
    </w:p>
    <w:p>
      <w:pPr>
        <w:pStyle w:val="ListParagraph"/>
        <w:numPr>
          <w:ilvl w:val="0"/>
          <w:numId w:val="3"/>
        </w:numPr>
        <w:spacing w:after="80"/>
      </w:pPr>
      <w:r>
        <w:rPr>
          <w:b/>
          <w:bCs/>
        </w:rPr>
        <w:t xml:space="preserve">No interference:</w:t>
      </w:r>
      <w:r>
        <w:t xml:space="preserve"> one person's quitting does not change another person's weight. Plausible in a population sample; couples who quit together are a possible exception.</w:t>
      </w:r>
    </w:p>
    <w:p>
      <w:pPr>
        <w:pStyle w:val="Heading2"/>
      </w:pPr>
      <w:r>
        <w:t xml:space="preserve">6.2 Positivity (tested)</w:t>
      </w:r>
    </w:p>
    <w:p>
      <w:pPr>
        <w:spacing w:after="60" w:before="120"/>
        <w:jc w:val="center"/>
      </w:pPr>
      <w:r>
        <w:drawing>
          <wp:inline distT="0" distB="0" distL="0" distR="0">
            <wp:extent cx="4953000" cy="2924175"/>
            <wp:effectExtent t="0" r="0" b="0" l="0"/>
            <wp:docPr id="1" name="fig04a_overlap.png" descr="Estimated propensity to quit by group (logistic model with the Hernán &amp; Robins specification). Both groups cover the same rang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24175"/>
                    </a:xfrm>
                    <a:prstGeom prst="rect">
                      <a:avLst/>
                    </a:prstGeom>
                  </pic:spPr>
                </pic:pic>
              </a:graphicData>
            </a:graphic>
          </wp:inline>
        </w:drawing>
      </w:r>
    </w:p>
    <w:p>
      <w:pPr>
        <w:spacing w:after="200"/>
      </w:pPr>
      <w:r>
        <w:rPr>
          <w:b/>
          <w:bCs/>
          <w:color w:val="7A7A7A"/>
          <w:sz w:val="18"/>
          <w:szCs w:val="18"/>
        </w:rPr>
        <w:t xml:space="preserve">Figure 2.</w:t>
      </w:r>
      <w:r>
        <w:rPr>
          <w:color w:val="7A7A7A"/>
          <w:sz w:val="18"/>
          <w:szCs w:val="18"/>
        </w:rPr>
        <w:t xml:space="preserve"> Estimated propensity to quit by group (logistic model with the Hernán &amp; Robins specification). Both groups cover the same range.</w:t>
      </w:r>
    </w:p>
    <w:p>
      <w:pPr>
        <w:spacing w:after="120"/>
      </w:pPr>
      <w:r>
        <w:t xml:space="preserve">Propensity scores range from 0.05 to 0.78, and no one falls outside [0.05, 0.95]. </w:t>
      </w:r>
      <w:r>
        <w:rPr>
          <w:b/>
          <w:bCs/>
        </w:rPr>
        <w:t xml:space="preserve">Decision:</w:t>
      </w:r>
      <w:r>
        <w:t xml:space="preserve"> the ATE remains the estimand; no trimming is needed.</w:t>
      </w:r>
    </w:p>
    <w:p>
      <w:pPr>
        <w:pStyle w:val="Heading2"/>
      </w:pPr>
      <w:r>
        <w:t xml:space="preserve">6.3 Unconfoundedness (argued, supported by balance)</w:t>
      </w:r>
    </w:p>
    <w:p>
      <w:pPr>
        <w:spacing w:after="60" w:before="120"/>
        <w:jc w:val="center"/>
      </w:pPr>
      <w:r>
        <w:drawing>
          <wp:inline distT="0" distB="0" distL="0" distR="0">
            <wp:extent cx="5334000" cy="3267075"/>
            <wp:effectExtent t="0" r="0" b="0" l="0"/>
            <wp:docPr id="1" name="fig04b_love_plot.png" descr="Covariate balance before (hollow) and after (filled) stabilized inverse probability weight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67075"/>
                    </a:xfrm>
                    <a:prstGeom prst="rect">
                      <a:avLst/>
                    </a:prstGeom>
                  </pic:spPr>
                </pic:pic>
              </a:graphicData>
            </a:graphic>
          </wp:inline>
        </w:drawing>
      </w:r>
    </w:p>
    <w:p>
      <w:pPr>
        <w:spacing w:after="200"/>
      </w:pPr>
      <w:r>
        <w:rPr>
          <w:b/>
          <w:bCs/>
          <w:color w:val="7A7A7A"/>
          <w:sz w:val="18"/>
          <w:szCs w:val="18"/>
        </w:rPr>
        <w:t xml:space="preserve">Figure 3.</w:t>
      </w:r>
      <w:r>
        <w:rPr>
          <w:color w:val="7A7A7A"/>
          <w:sz w:val="18"/>
          <w:szCs w:val="18"/>
        </w:rPr>
        <w:t xml:space="preserve"> Covariate balance before (hollow) and after (filled) stabilized inverse probability weighting.</w:t>
      </w:r>
    </w:p>
    <w:p>
      <w:pPr>
        <w:spacing w:after="120"/>
      </w:pPr>
      <w:r>
        <w:t xml:space="preserve">Before weighting, quitters differ most in age (ASMD 0.20) and cigarettes per day (0.15); after weighting, every ASMD is below 0.03. The stabilized weights have mean 0.999 and range 0.33 to 4.30, so no single person dominates. The ASMD follows the lecture definition |mean₁ − mean₀| / √(s₁² + s₀²); common software divides by √((s₁² + s₀²)/2), which gives values larger by a factor √2. Balance shows that the weights work for the </w:t>
      </w:r>
      <w:r>
        <w:rPr>
          <w:b/>
          <w:bCs/>
        </w:rPr>
        <w:t xml:space="preserve">measured</w:t>
      </w:r>
      <w:r>
        <w:t xml:space="preserve"> confounders; unconfoundedness with respect to unmeasured ones cannot be tested and is addressed by the sensitivity analysis in Section 9.4.</w:t>
      </w:r>
    </w:p>
    <w:p>
      <w:pPr>
        <w:pStyle w:val="Heading1"/>
      </w:pPr>
      <w:r>
        <w:t xml:space="preserve">7. Step 5: Fitting the method</w:t>
      </w:r>
    </w:p>
    <w:p>
      <w:pPr>
        <w:pStyle w:val="Heading2"/>
      </w:pPr>
      <w:r>
        <w:t xml:space="preserve">7.1 Nuisance models</w:t>
      </w:r>
    </w:p>
    <w:p>
      <w:pPr>
        <w:spacing w:after="120"/>
      </w:pPr>
      <w:r>
        <w:t xml:space="preserve">The causal forest needs two nuisance functions: m(x) = E[Y | X = x] and e(x) = P(W = 1 | X = x). As in the lecture, both come from honest regression forests with out-of-bag predictions (cross-fitting for free). For comparison, parametric models with the Hernán &amp; Robins specification were fitted with 5-fold cross-fitting.</w:t>
      </w:r>
    </w:p>
    <w:p>
      <w:pPr>
        <w:keepNext/>
        <w:spacing w:after="80" w:before="160"/>
      </w:pPr>
      <w:r>
        <w:rPr>
          <w:b/>
          <w:bCs/>
          <w:color w:val="7A7A7A"/>
          <w:sz w:val="18"/>
          <w:szCs w:val="18"/>
        </w:rPr>
        <w:t xml:space="preserve">Table 4.</w:t>
      </w:r>
      <w:r>
        <w:rPr>
          <w:color w:val="7A7A7A"/>
          <w:sz w:val="18"/>
          <w:szCs w:val="18"/>
        </w:rPr>
        <w:t xml:space="preserve"> Out-of-sample quality of the nuisance models.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26"/>
        <w:gridCol w:w="1400"/>
        <w:gridCol w:w="1400"/>
        <w:gridCol w:w="1600"/>
        <w:gridCol w:w="1600"/>
      </w:tblGrid>
      <w:tr>
        <w:trPr>
          <w:tblHeader/>
        </w:trPr>
        <w:tc>
          <w:tcPr>
            <w:tcW w:type="dxa" w:w="3026"/>
            <w:shd w:fill="E8F3EF" w:color="auto" w:val="clear"/>
            <w:tcMar>
              <w:top w:type="dxa" w:w="60"/>
              <w:left w:type="dxa" w:w="100"/>
              <w:bottom w:type="dxa" w:w="60"/>
              <w:right w:type="dxa" w:w="100"/>
            </w:tcMar>
          </w:tcPr>
          <w:p>
            <w:pPr>
              <w:keepNext/>
              <w:jc w:val="left"/>
            </w:pPr>
            <w:r>
              <w:rPr>
                <w:b/>
                <w:bCs/>
                <w:sz w:val="19"/>
                <w:szCs w:val="19"/>
              </w:rPr>
              <w:t xml:space="preserve">Nuisance models</w:t>
            </w:r>
          </w:p>
        </w:tc>
        <w:tc>
          <w:tcPr>
            <w:tcW w:type="dxa" w:w="1400"/>
            <w:shd w:fill="E8F3EF" w:color="auto" w:val="clear"/>
            <w:tcMar>
              <w:top w:type="dxa" w:w="60"/>
              <w:left w:type="dxa" w:w="100"/>
              <w:bottom w:type="dxa" w:w="60"/>
              <w:right w:type="dxa" w:w="100"/>
            </w:tcMar>
          </w:tcPr>
          <w:p>
            <w:pPr>
              <w:keepNext/>
              <w:jc w:val="right"/>
            </w:pPr>
            <w:r>
              <w:rPr>
                <w:b/>
                <w:bCs/>
                <w:sz w:val="19"/>
                <w:szCs w:val="19"/>
              </w:rPr>
              <w:t xml:space="preserve">m(x): R²</w:t>
            </w:r>
          </w:p>
        </w:tc>
        <w:tc>
          <w:tcPr>
            <w:tcW w:type="dxa" w:w="1400"/>
            <w:shd w:fill="E8F3EF" w:color="auto" w:val="clear"/>
            <w:tcMar>
              <w:top w:type="dxa" w:w="60"/>
              <w:left w:type="dxa" w:w="100"/>
              <w:bottom w:type="dxa" w:w="60"/>
              <w:right w:type="dxa" w:w="100"/>
            </w:tcMar>
          </w:tcPr>
          <w:p>
            <w:pPr>
              <w:keepNext/>
              <w:jc w:val="right"/>
            </w:pPr>
            <w:r>
              <w:rPr>
                <w:b/>
                <w:bCs/>
                <w:sz w:val="19"/>
                <w:szCs w:val="19"/>
              </w:rPr>
              <w:t xml:space="preserve">e(x): AUC</w:t>
            </w:r>
          </w:p>
        </w:tc>
        <w:tc>
          <w:tcPr>
            <w:tcW w:type="dxa" w:w="1600"/>
            <w:shd w:fill="E8F3EF" w:color="auto" w:val="clear"/>
            <w:tcMar>
              <w:top w:type="dxa" w:w="60"/>
              <w:left w:type="dxa" w:w="100"/>
              <w:bottom w:type="dxa" w:w="60"/>
              <w:right w:type="dxa" w:w="100"/>
            </w:tcMar>
          </w:tcPr>
          <w:p>
            <w:pPr>
              <w:keepNext/>
              <w:jc w:val="right"/>
            </w:pPr>
            <w:r>
              <w:rPr>
                <w:b/>
                <w:bCs/>
                <w:sz w:val="19"/>
                <w:szCs w:val="19"/>
              </w:rPr>
              <w:t xml:space="preserve">e(x): Brier score</w:t>
            </w:r>
          </w:p>
        </w:tc>
        <w:tc>
          <w:tcPr>
            <w:tcW w:type="dxa" w:w="1600"/>
            <w:shd w:fill="E8F3EF" w:color="auto" w:val="clear"/>
            <w:tcMar>
              <w:top w:type="dxa" w:w="60"/>
              <w:left w:type="dxa" w:w="100"/>
              <w:bottom w:type="dxa" w:w="60"/>
              <w:right w:type="dxa" w:w="100"/>
            </w:tcMar>
          </w:tcPr>
          <w:p>
            <w:pPr>
              <w:keepNext/>
              <w:jc w:val="left"/>
            </w:pPr>
            <w:r>
              <w:rPr>
                <w:b/>
                <w:bCs/>
                <w:sz w:val="19"/>
                <w:szCs w:val="19"/>
              </w:rPr>
              <w:t xml:space="preserve">e(x): range</w:t>
            </w:r>
          </w:p>
        </w:tc>
      </w:tr>
      <w:tr>
        <w:trPr>
          <w:cantSplit/>
        </w:trPr>
        <w:tc>
          <w:tcPr>
            <w:tcW w:type="dxa" w:w="3026"/>
            <w:tcMar>
              <w:top w:type="dxa" w:w="60"/>
              <w:left w:type="dxa" w:w="100"/>
              <w:bottom w:type="dxa" w:w="60"/>
              <w:right w:type="dxa" w:w="100"/>
            </w:tcMar>
          </w:tcPr>
          <w:p>
            <w:pPr>
              <w:keepNext/>
              <w:jc w:val="left"/>
            </w:pPr>
            <w:r>
              <w:rPr>
                <w:sz w:val="19"/>
                <w:szCs w:val="19"/>
              </w:rPr>
              <w:t xml:space="preserve">Regression forests (out-of-bag)</w:t>
            </w:r>
          </w:p>
        </w:tc>
        <w:tc>
          <w:tcPr>
            <w:tcW w:type="dxa" w:w="1400"/>
            <w:tcMar>
              <w:top w:type="dxa" w:w="60"/>
              <w:left w:type="dxa" w:w="100"/>
              <w:bottom w:type="dxa" w:w="60"/>
              <w:right w:type="dxa" w:w="100"/>
            </w:tcMar>
          </w:tcPr>
          <w:p>
            <w:pPr>
              <w:keepNext/>
              <w:jc w:val="right"/>
            </w:pPr>
            <w:r>
              <w:rPr>
                <w:sz w:val="19"/>
                <w:szCs w:val="19"/>
              </w:rPr>
              <w:t xml:space="preserve">0.074</w:t>
            </w:r>
          </w:p>
        </w:tc>
        <w:tc>
          <w:tcPr>
            <w:tcW w:type="dxa" w:w="1400"/>
            <w:tcMar>
              <w:top w:type="dxa" w:w="60"/>
              <w:left w:type="dxa" w:w="100"/>
              <w:bottom w:type="dxa" w:w="60"/>
              <w:right w:type="dxa" w:w="100"/>
            </w:tcMar>
          </w:tcPr>
          <w:p>
            <w:pPr>
              <w:keepNext/>
              <w:jc w:val="right"/>
            </w:pPr>
            <w:r>
              <w:rPr>
                <w:sz w:val="19"/>
                <w:szCs w:val="19"/>
              </w:rPr>
              <w:t xml:space="preserve">0.612</w:t>
            </w:r>
          </w:p>
        </w:tc>
        <w:tc>
          <w:tcPr>
            <w:tcW w:type="dxa" w:w="1600"/>
            <w:tcMar>
              <w:top w:type="dxa" w:w="60"/>
              <w:left w:type="dxa" w:w="100"/>
              <w:bottom w:type="dxa" w:w="60"/>
              <w:right w:type="dxa" w:w="100"/>
            </w:tcMar>
          </w:tcPr>
          <w:p>
            <w:pPr>
              <w:keepNext/>
              <w:jc w:val="right"/>
            </w:pPr>
            <w:r>
              <w:rPr>
                <w:sz w:val="19"/>
                <w:szCs w:val="19"/>
              </w:rPr>
              <w:t xml:space="preserve">0.186</w:t>
            </w:r>
          </w:p>
        </w:tc>
        <w:tc>
          <w:tcPr>
            <w:tcW w:type="dxa" w:w="1600"/>
            <w:tcMar>
              <w:top w:type="dxa" w:w="60"/>
              <w:left w:type="dxa" w:w="100"/>
              <w:bottom w:type="dxa" w:w="60"/>
              <w:right w:type="dxa" w:w="100"/>
            </w:tcMar>
          </w:tcPr>
          <w:p>
            <w:pPr>
              <w:keepNext/>
              <w:jc w:val="left"/>
            </w:pPr>
            <w:r>
              <w:rPr>
                <w:sz w:val="19"/>
                <w:szCs w:val="19"/>
              </w:rPr>
              <w:t xml:space="preserve">0.12 to 0.47</w:t>
            </w:r>
          </w:p>
        </w:tc>
      </w:tr>
      <w:tr>
        <w:trPr>
          <w:cantSplit/>
        </w:trPr>
        <w:tc>
          <w:tcPr>
            <w:tcW w:type="dxa" w:w="3026"/>
            <w:tcMar>
              <w:top w:type="dxa" w:w="60"/>
              <w:left w:type="dxa" w:w="100"/>
              <w:bottom w:type="dxa" w:w="60"/>
              <w:right w:type="dxa" w:w="100"/>
            </w:tcMar>
          </w:tcPr>
          <w:p>
            <w:pPr>
              <w:keepNext w:val="false"/>
              <w:jc w:val="left"/>
            </w:pPr>
            <w:r>
              <w:rPr>
                <w:sz w:val="19"/>
                <w:szCs w:val="19"/>
              </w:rPr>
              <w:t xml:space="preserve">Parametric (5-fold cross-fit)</w:t>
            </w:r>
          </w:p>
        </w:tc>
        <w:tc>
          <w:tcPr>
            <w:tcW w:type="dxa" w:w="1400"/>
            <w:tcMar>
              <w:top w:type="dxa" w:w="60"/>
              <w:left w:type="dxa" w:w="100"/>
              <w:bottom w:type="dxa" w:w="60"/>
              <w:right w:type="dxa" w:w="100"/>
            </w:tcMar>
          </w:tcPr>
          <w:p>
            <w:pPr>
              <w:keepNext w:val="false"/>
              <w:jc w:val="right"/>
            </w:pPr>
            <w:r>
              <w:rPr>
                <w:sz w:val="19"/>
                <w:szCs w:val="19"/>
              </w:rPr>
              <w:t xml:space="preserve">0.085</w:t>
            </w:r>
          </w:p>
        </w:tc>
        <w:tc>
          <w:tcPr>
            <w:tcW w:type="dxa" w:w="1400"/>
            <w:tcMar>
              <w:top w:type="dxa" w:w="60"/>
              <w:left w:type="dxa" w:w="100"/>
              <w:bottom w:type="dxa" w:w="60"/>
              <w:right w:type="dxa" w:w="100"/>
            </w:tcMar>
          </w:tcPr>
          <w:p>
            <w:pPr>
              <w:keepNext w:val="false"/>
              <w:jc w:val="right"/>
            </w:pPr>
            <w:r>
              <w:rPr>
                <w:sz w:val="19"/>
                <w:szCs w:val="19"/>
              </w:rPr>
              <w:t xml:space="preserve">0.632</w:t>
            </w:r>
          </w:p>
        </w:tc>
        <w:tc>
          <w:tcPr>
            <w:tcW w:type="dxa" w:w="1600"/>
            <w:tcMar>
              <w:top w:type="dxa" w:w="60"/>
              <w:left w:type="dxa" w:w="100"/>
              <w:bottom w:type="dxa" w:w="60"/>
              <w:right w:type="dxa" w:w="100"/>
            </w:tcMar>
          </w:tcPr>
          <w:p>
            <w:pPr>
              <w:keepNext w:val="false"/>
              <w:jc w:val="right"/>
            </w:pPr>
            <w:r>
              <w:rPr>
                <w:sz w:val="19"/>
                <w:szCs w:val="19"/>
              </w:rPr>
              <w:t xml:space="preserve">0.183</w:t>
            </w:r>
          </w:p>
        </w:tc>
        <w:tc>
          <w:tcPr>
            <w:tcW w:type="dxa" w:w="1600"/>
            <w:tcMar>
              <w:top w:type="dxa" w:w="60"/>
              <w:left w:type="dxa" w:w="100"/>
              <w:bottom w:type="dxa" w:w="60"/>
              <w:right w:type="dxa" w:w="100"/>
            </w:tcMar>
          </w:tcPr>
          <w:p>
            <w:pPr>
              <w:keepNext w:val="false"/>
              <w:jc w:val="left"/>
            </w:pPr>
            <w:r>
              <w:rPr>
                <w:sz w:val="19"/>
                <w:szCs w:val="19"/>
              </w:rPr>
              <w:t xml:space="preserve">0.05 to 0.80</w:t>
            </w:r>
          </w:p>
        </w:tc>
      </w:tr>
    </w:tbl>
    <w:p>
      <w:pPr>
        <w:spacing w:after="120"/>
      </w:pPr>
    </w:p>
    <w:p>
      <w:pPr>
        <w:spacing w:after="120"/>
      </w:pPr>
      <w:r>
        <w:t xml:space="preserve">Both fits are weak: weight change is hard to predict and quitting is only mildly predictable from X, which is good for overlap. Weak nuisances do not threaten identification; they make estimates noisier. The forests are used inside the causal forest (lecture workflow); the parametric models enter the estimator ladder, so the ladder also shows robustness to the nuisance choice.</w:t>
      </w:r>
    </w:p>
    <w:p>
      <w:pPr>
        <w:pStyle w:val="Heading2"/>
      </w:pPr>
      <w:r>
        <w:t xml:space="preserve">7.2 Causal forest</w:t>
      </w:r>
    </w:p>
    <w:p>
      <w:pPr>
        <w:spacing w:after="120"/>
      </w:pPr>
      <w:r>
        <w:t xml:space="preserve">The causal forest (econml.grf, the Python counterpart of R's grf) is a forest-localized Robinson regression of Y − m(X) on W − e(X): honest trees, 2,000 trees, out-of-bag predictions. The leaf size was selected by the R-loss (Nie &amp; Wager 2021) over the grid 5, 10, 20, 40 (R-loss 55.417, 55.358, 55.399, 55.459); </w:t>
      </w:r>
      <w:r>
        <w:rPr>
          <w:b/>
          <w:bCs/>
        </w:rPr>
        <w:t xml:space="preserve">min_samples_leaf = 10</w:t>
      </w:r>
      <w:r>
        <w:t xml:space="preserve"> was selected. Its doubly robust ATE is 3.38 kg (95% CI 2.46 to 4.30).</w:t>
      </w:r>
    </w:p>
    <w:p>
      <w:pPr>
        <w:pStyle w:val="Heading2"/>
      </w:pPr>
      <w:r>
        <w:t xml:space="preserve">7.3 Estimator ladder</w:t>
      </w:r>
    </w:p>
    <w:p>
      <w:pPr>
        <w:keepNext/>
        <w:spacing w:after="80" w:before="160"/>
      </w:pPr>
      <w:r>
        <w:rPr>
          <w:b/>
          <w:bCs/>
          <w:color w:val="7A7A7A"/>
          <w:sz w:val="18"/>
          <w:szCs w:val="18"/>
        </w:rPr>
        <w:t xml:space="preserve">Table 5.</w:t>
      </w:r>
      <w:r>
        <w:rPr>
          <w:color w:val="7A7A7A"/>
          <w:sz w:val="18"/>
          <w:szCs w:val="18"/>
        </w:rPr>
        <w:t xml:space="preserve"> ATE estimates along the estimator ladder (kg over 1971 to 1982).</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426"/>
        <w:gridCol w:w="1400"/>
        <w:gridCol w:w="1200"/>
        <w:gridCol w:w="2000"/>
      </w:tblGrid>
      <w:tr>
        <w:trPr>
          <w:tblHeader/>
        </w:trPr>
        <w:tc>
          <w:tcPr>
            <w:tcW w:type="dxa" w:w="4426"/>
            <w:shd w:fill="E8F3EF" w:color="auto" w:val="clear"/>
            <w:tcMar>
              <w:top w:type="dxa" w:w="60"/>
              <w:left w:type="dxa" w:w="100"/>
              <w:bottom w:type="dxa" w:w="60"/>
              <w:right w:type="dxa" w:w="100"/>
            </w:tcMar>
          </w:tcPr>
          <w:p>
            <w:pPr>
              <w:keepNext/>
              <w:jc w:val="left"/>
            </w:pPr>
            <w:r>
              <w:rPr>
                <w:b/>
                <w:bCs/>
                <w:sz w:val="19"/>
                <w:szCs w:val="19"/>
              </w:rPr>
              <w:t xml:space="preserve">Estimator</w:t>
            </w:r>
          </w:p>
        </w:tc>
        <w:tc>
          <w:tcPr>
            <w:tcW w:type="dxa" w:w="1400"/>
            <w:shd w:fill="E8F3EF" w:color="auto" w:val="clear"/>
            <w:tcMar>
              <w:top w:type="dxa" w:w="60"/>
              <w:left w:type="dxa" w:w="100"/>
              <w:bottom w:type="dxa" w:w="60"/>
              <w:right w:type="dxa" w:w="100"/>
            </w:tcMar>
          </w:tcPr>
          <w:p>
            <w:pPr>
              <w:keepNext/>
              <w:jc w:val="right"/>
            </w:pPr>
            <w:r>
              <w:rPr>
                <w:b/>
                <w:bCs/>
                <w:sz w:val="19"/>
                <w:szCs w:val="19"/>
              </w:rPr>
              <w:t xml:space="preserve">Estimate</w:t>
            </w:r>
          </w:p>
        </w:tc>
        <w:tc>
          <w:tcPr>
            <w:tcW w:type="dxa" w:w="1200"/>
            <w:shd w:fill="E8F3EF" w:color="auto" w:val="clear"/>
            <w:tcMar>
              <w:top w:type="dxa" w:w="60"/>
              <w:left w:type="dxa" w:w="100"/>
              <w:bottom w:type="dxa" w:w="60"/>
              <w:right w:type="dxa" w:w="100"/>
            </w:tcMar>
          </w:tcPr>
          <w:p>
            <w:pPr>
              <w:keepNext/>
              <w:jc w:val="right"/>
            </w:pPr>
            <w:r>
              <w:rPr>
                <w:b/>
                <w:bCs/>
                <w:sz w:val="19"/>
                <w:szCs w:val="19"/>
              </w:rPr>
              <w:t xml:space="preserve">SE</w:t>
            </w:r>
          </w:p>
        </w:tc>
        <w:tc>
          <w:tcPr>
            <w:tcW w:type="dxa" w:w="2000"/>
            <w:shd w:fill="E8F3EF" w:color="auto" w:val="clear"/>
            <w:tcMar>
              <w:top w:type="dxa" w:w="60"/>
              <w:left w:type="dxa" w:w="100"/>
              <w:bottom w:type="dxa" w:w="60"/>
              <w:right w:type="dxa" w:w="100"/>
            </w:tcMar>
          </w:tcPr>
          <w:p>
            <w:pPr>
              <w:keepNext/>
              <w:jc w:val="right"/>
            </w:pPr>
            <w:r>
              <w:rPr>
                <w:b/>
                <w:bCs/>
                <w:sz w:val="19"/>
                <w:szCs w:val="19"/>
              </w:rPr>
              <w:t xml:space="preserve">95% CI</w:t>
            </w:r>
          </w:p>
        </w:tc>
      </w:tr>
      <w:tr>
        <w:trPr>
          <w:cantSplit/>
        </w:trPr>
        <w:tc>
          <w:tcPr>
            <w:tcW w:type="dxa" w:w="4426"/>
            <w:tcMar>
              <w:top w:type="dxa" w:w="60"/>
              <w:left w:type="dxa" w:w="100"/>
              <w:bottom w:type="dxa" w:w="60"/>
              <w:right w:type="dxa" w:w="100"/>
            </w:tcMar>
          </w:tcPr>
          <w:p>
            <w:pPr>
              <w:keepNext/>
              <w:jc w:val="left"/>
            </w:pPr>
            <w:r>
              <w:rPr>
                <w:sz w:val="19"/>
                <w:szCs w:val="19"/>
              </w:rPr>
              <w:t xml:space="preserve">Difference in means (naive)</w:t>
            </w:r>
          </w:p>
        </w:tc>
        <w:tc>
          <w:tcPr>
            <w:tcW w:type="dxa" w:w="1400"/>
            <w:tcMar>
              <w:top w:type="dxa" w:w="60"/>
              <w:left w:type="dxa" w:w="100"/>
              <w:bottom w:type="dxa" w:w="60"/>
              <w:right w:type="dxa" w:w="100"/>
            </w:tcMar>
          </w:tcPr>
          <w:p>
            <w:pPr>
              <w:keepNext/>
              <w:jc w:val="right"/>
            </w:pPr>
            <w:r>
              <w:rPr>
                <w:sz w:val="19"/>
                <w:szCs w:val="19"/>
              </w:rPr>
              <w:t xml:space="preserve">2.54</w:t>
            </w:r>
          </w:p>
        </w:tc>
        <w:tc>
          <w:tcPr>
            <w:tcW w:type="dxa" w:w="1200"/>
            <w:tcMar>
              <w:top w:type="dxa" w:w="60"/>
              <w:left w:type="dxa" w:w="100"/>
              <w:bottom w:type="dxa" w:w="60"/>
              <w:right w:type="dxa" w:w="100"/>
            </w:tcMar>
          </w:tcPr>
          <w:p>
            <w:pPr>
              <w:keepNext/>
              <w:jc w:val="right"/>
            </w:pPr>
            <w:r>
              <w:rPr>
                <w:sz w:val="19"/>
                <w:szCs w:val="19"/>
              </w:rPr>
              <w:t xml:space="preserve">0.49</w:t>
            </w:r>
          </w:p>
        </w:tc>
        <w:tc>
          <w:tcPr>
            <w:tcW w:type="dxa" w:w="2000"/>
            <w:tcMar>
              <w:top w:type="dxa" w:w="60"/>
              <w:left w:type="dxa" w:w="100"/>
              <w:bottom w:type="dxa" w:w="60"/>
              <w:right w:type="dxa" w:w="100"/>
            </w:tcMar>
          </w:tcPr>
          <w:p>
            <w:pPr>
              <w:keepNext/>
              <w:jc w:val="right"/>
            </w:pPr>
            <w:r>
              <w:rPr>
                <w:sz w:val="19"/>
                <w:szCs w:val="19"/>
              </w:rPr>
              <w:t xml:space="preserve">1.59 to 3.50</w:t>
            </w:r>
          </w:p>
        </w:tc>
      </w:tr>
      <w:tr>
        <w:trPr>
          <w:cantSplit/>
        </w:trPr>
        <w:tc>
          <w:tcPr>
            <w:tcW w:type="dxa" w:w="4426"/>
            <w:tcMar>
              <w:top w:type="dxa" w:w="60"/>
              <w:left w:type="dxa" w:w="100"/>
              <w:bottom w:type="dxa" w:w="60"/>
              <w:right w:type="dxa" w:w="100"/>
            </w:tcMar>
          </w:tcPr>
          <w:p>
            <w:pPr>
              <w:keepNext/>
              <w:jc w:val="left"/>
            </w:pPr>
            <w:r>
              <w:rPr>
                <w:sz w:val="19"/>
                <w:szCs w:val="19"/>
              </w:rPr>
              <w:t xml:space="preserve">Direct: outcome model (standardization)</w:t>
            </w:r>
          </w:p>
        </w:tc>
        <w:tc>
          <w:tcPr>
            <w:tcW w:type="dxa" w:w="1400"/>
            <w:tcMar>
              <w:top w:type="dxa" w:w="60"/>
              <w:left w:type="dxa" w:w="100"/>
              <w:bottom w:type="dxa" w:w="60"/>
              <w:right w:type="dxa" w:w="100"/>
            </w:tcMar>
          </w:tcPr>
          <w:p>
            <w:pPr>
              <w:keepNext/>
              <w:jc w:val="right"/>
            </w:pPr>
            <w:r>
              <w:rPr>
                <w:sz w:val="19"/>
                <w:szCs w:val="19"/>
              </w:rPr>
              <w:t xml:space="preserve">3.52</w:t>
            </w:r>
          </w:p>
        </w:tc>
        <w:tc>
          <w:tcPr>
            <w:tcW w:type="dxa" w:w="1200"/>
            <w:tcMar>
              <w:top w:type="dxa" w:w="60"/>
              <w:left w:type="dxa" w:w="100"/>
              <w:bottom w:type="dxa" w:w="60"/>
              <w:right w:type="dxa" w:w="100"/>
            </w:tcMar>
          </w:tcPr>
          <w:p>
            <w:pPr>
              <w:keepNext/>
              <w:jc w:val="right"/>
            </w:pPr>
            <w:r>
              <w:rPr>
                <w:sz w:val="19"/>
                <w:szCs w:val="19"/>
              </w:rPr>
              <w:t xml:space="preserve">0.49</w:t>
            </w:r>
          </w:p>
        </w:tc>
        <w:tc>
          <w:tcPr>
            <w:tcW w:type="dxa" w:w="2000"/>
            <w:tcMar>
              <w:top w:type="dxa" w:w="60"/>
              <w:left w:type="dxa" w:w="100"/>
              <w:bottom w:type="dxa" w:w="60"/>
              <w:right w:type="dxa" w:w="100"/>
            </w:tcMar>
          </w:tcPr>
          <w:p>
            <w:pPr>
              <w:keepNext/>
              <w:jc w:val="right"/>
            </w:pPr>
            <w:r>
              <w:rPr>
                <w:sz w:val="19"/>
                <w:szCs w:val="19"/>
              </w:rPr>
              <w:t xml:space="preserve">2.57 to 4.47</w:t>
            </w:r>
          </w:p>
        </w:tc>
      </w:tr>
      <w:tr>
        <w:trPr>
          <w:cantSplit/>
        </w:trPr>
        <w:tc>
          <w:tcPr>
            <w:tcW w:type="dxa" w:w="4426"/>
            <w:tcMar>
              <w:top w:type="dxa" w:w="60"/>
              <w:left w:type="dxa" w:w="100"/>
              <w:bottom w:type="dxa" w:w="60"/>
              <w:right w:type="dxa" w:w="100"/>
            </w:tcMar>
          </w:tcPr>
          <w:p>
            <w:pPr>
              <w:keepNext/>
              <w:jc w:val="left"/>
            </w:pPr>
            <w:r>
              <w:rPr>
                <w:sz w:val="19"/>
                <w:szCs w:val="19"/>
              </w:rPr>
              <w:t xml:space="preserve">IPW: treatment model (stabilized weights)</w:t>
            </w:r>
          </w:p>
        </w:tc>
        <w:tc>
          <w:tcPr>
            <w:tcW w:type="dxa" w:w="1400"/>
            <w:tcMar>
              <w:top w:type="dxa" w:w="60"/>
              <w:left w:type="dxa" w:w="100"/>
              <w:bottom w:type="dxa" w:w="60"/>
              <w:right w:type="dxa" w:w="100"/>
            </w:tcMar>
          </w:tcPr>
          <w:p>
            <w:pPr>
              <w:keepNext/>
              <w:jc w:val="right"/>
            </w:pPr>
            <w:r>
              <w:rPr>
                <w:sz w:val="19"/>
                <w:szCs w:val="19"/>
              </w:rPr>
              <w:t xml:space="preserve">3.44</w:t>
            </w:r>
          </w:p>
        </w:tc>
        <w:tc>
          <w:tcPr>
            <w:tcW w:type="dxa" w:w="1200"/>
            <w:tcMar>
              <w:top w:type="dxa" w:w="60"/>
              <w:left w:type="dxa" w:w="100"/>
              <w:bottom w:type="dxa" w:w="60"/>
              <w:right w:type="dxa" w:w="100"/>
            </w:tcMar>
          </w:tcPr>
          <w:p>
            <w:pPr>
              <w:keepNext/>
              <w:jc w:val="right"/>
            </w:pPr>
            <w:r>
              <w:rPr>
                <w:sz w:val="19"/>
                <w:szCs w:val="19"/>
              </w:rPr>
              <w:t xml:space="preserve">0.53</w:t>
            </w:r>
          </w:p>
        </w:tc>
        <w:tc>
          <w:tcPr>
            <w:tcW w:type="dxa" w:w="2000"/>
            <w:tcMar>
              <w:top w:type="dxa" w:w="60"/>
              <w:left w:type="dxa" w:w="100"/>
              <w:bottom w:type="dxa" w:w="60"/>
              <w:right w:type="dxa" w:w="100"/>
            </w:tcMar>
          </w:tcPr>
          <w:p>
            <w:pPr>
              <w:keepNext/>
              <w:jc w:val="right"/>
            </w:pPr>
            <w:r>
              <w:rPr>
                <w:sz w:val="19"/>
                <w:szCs w:val="19"/>
              </w:rPr>
              <w:t xml:space="preserve">2.41 to 4.47</w:t>
            </w:r>
          </w:p>
        </w:tc>
      </w:tr>
      <w:tr>
        <w:trPr>
          <w:cantSplit/>
        </w:trPr>
        <w:tc>
          <w:tcPr>
            <w:tcW w:type="dxa" w:w="4426"/>
            <w:tcMar>
              <w:top w:type="dxa" w:w="60"/>
              <w:left w:type="dxa" w:w="100"/>
              <w:bottom w:type="dxa" w:w="60"/>
              <w:right w:type="dxa" w:w="100"/>
            </w:tcMar>
          </w:tcPr>
          <w:p>
            <w:pPr>
              <w:keepNext/>
              <w:jc w:val="left"/>
            </w:pPr>
            <w:r>
              <w:rPr>
                <w:sz w:val="19"/>
                <w:szCs w:val="19"/>
              </w:rPr>
              <w:t xml:space="preserve">AIPW: parametric nuisances, cross-fit</w:t>
            </w:r>
          </w:p>
        </w:tc>
        <w:tc>
          <w:tcPr>
            <w:tcW w:type="dxa" w:w="1400"/>
            <w:tcMar>
              <w:top w:type="dxa" w:w="60"/>
              <w:left w:type="dxa" w:w="100"/>
              <w:bottom w:type="dxa" w:w="60"/>
              <w:right w:type="dxa" w:w="100"/>
            </w:tcMar>
          </w:tcPr>
          <w:p>
            <w:pPr>
              <w:keepNext/>
              <w:jc w:val="right"/>
            </w:pPr>
            <w:r>
              <w:rPr>
                <w:sz w:val="19"/>
                <w:szCs w:val="19"/>
              </w:rPr>
              <w:t xml:space="preserve">3.26</w:t>
            </w:r>
          </w:p>
        </w:tc>
        <w:tc>
          <w:tcPr>
            <w:tcW w:type="dxa" w:w="1200"/>
            <w:tcMar>
              <w:top w:type="dxa" w:w="60"/>
              <w:left w:type="dxa" w:w="100"/>
              <w:bottom w:type="dxa" w:w="60"/>
              <w:right w:type="dxa" w:w="100"/>
            </w:tcMar>
          </w:tcPr>
          <w:p>
            <w:pPr>
              <w:keepNext/>
              <w:jc w:val="right"/>
            </w:pPr>
            <w:r>
              <w:rPr>
                <w:sz w:val="19"/>
                <w:szCs w:val="19"/>
              </w:rPr>
              <w:t xml:space="preserve">0.51</w:t>
            </w:r>
          </w:p>
        </w:tc>
        <w:tc>
          <w:tcPr>
            <w:tcW w:type="dxa" w:w="2000"/>
            <w:tcMar>
              <w:top w:type="dxa" w:w="60"/>
              <w:left w:type="dxa" w:w="100"/>
              <w:bottom w:type="dxa" w:w="60"/>
              <w:right w:type="dxa" w:w="100"/>
            </w:tcMar>
          </w:tcPr>
          <w:p>
            <w:pPr>
              <w:keepNext/>
              <w:jc w:val="right"/>
            </w:pPr>
            <w:r>
              <w:rPr>
                <w:sz w:val="19"/>
                <w:szCs w:val="19"/>
              </w:rPr>
              <w:t xml:space="preserve">2.27 to 4.26</w:t>
            </w:r>
          </w:p>
        </w:tc>
      </w:tr>
      <w:tr>
        <w:trPr>
          <w:cantSplit/>
        </w:trPr>
        <w:tc>
          <w:tcPr>
            <w:tcW w:type="dxa" w:w="4426"/>
            <w:tcMar>
              <w:top w:type="dxa" w:w="60"/>
              <w:left w:type="dxa" w:w="100"/>
              <w:bottom w:type="dxa" w:w="60"/>
              <w:right w:type="dxa" w:w="100"/>
            </w:tcMar>
          </w:tcPr>
          <w:p>
            <w:pPr>
              <w:keepNext w:val="false"/>
              <w:jc w:val="left"/>
            </w:pPr>
            <w:r>
              <w:rPr>
                <w:sz w:val="19"/>
                <w:szCs w:val="19"/>
              </w:rPr>
              <w:t xml:space="preserve">AIPW: causal forest (forest nuisances)</w:t>
            </w:r>
          </w:p>
        </w:tc>
        <w:tc>
          <w:tcPr>
            <w:tcW w:type="dxa" w:w="1400"/>
            <w:tcMar>
              <w:top w:type="dxa" w:w="60"/>
              <w:left w:type="dxa" w:w="100"/>
              <w:bottom w:type="dxa" w:w="60"/>
              <w:right w:type="dxa" w:w="100"/>
            </w:tcMar>
          </w:tcPr>
          <w:p>
            <w:pPr>
              <w:keepNext w:val="false"/>
              <w:jc w:val="right"/>
            </w:pPr>
            <w:r>
              <w:rPr>
                <w:sz w:val="19"/>
                <w:szCs w:val="19"/>
              </w:rPr>
              <w:t xml:space="preserve">3.38</w:t>
            </w:r>
          </w:p>
        </w:tc>
        <w:tc>
          <w:tcPr>
            <w:tcW w:type="dxa" w:w="1200"/>
            <w:tcMar>
              <w:top w:type="dxa" w:w="60"/>
              <w:left w:type="dxa" w:w="100"/>
              <w:bottom w:type="dxa" w:w="60"/>
              <w:right w:type="dxa" w:w="100"/>
            </w:tcMar>
          </w:tcPr>
          <w:p>
            <w:pPr>
              <w:keepNext w:val="false"/>
              <w:jc w:val="right"/>
            </w:pPr>
            <w:r>
              <w:rPr>
                <w:sz w:val="19"/>
                <w:szCs w:val="19"/>
              </w:rPr>
              <w:t xml:space="preserve">0.47</w:t>
            </w:r>
          </w:p>
        </w:tc>
        <w:tc>
          <w:tcPr>
            <w:tcW w:type="dxa" w:w="2000"/>
            <w:tcMar>
              <w:top w:type="dxa" w:w="60"/>
              <w:left w:type="dxa" w:w="100"/>
              <w:bottom w:type="dxa" w:w="60"/>
              <w:right w:type="dxa" w:w="100"/>
            </w:tcMar>
          </w:tcPr>
          <w:p>
            <w:pPr>
              <w:keepNext w:val="false"/>
              <w:jc w:val="right"/>
            </w:pPr>
            <w:r>
              <w:rPr>
                <w:sz w:val="19"/>
                <w:szCs w:val="19"/>
              </w:rPr>
              <w:t xml:space="preserve">2.46 to 4.30</w:t>
            </w:r>
          </w:p>
        </w:tc>
      </w:tr>
    </w:tbl>
    <w:p>
      <w:pPr>
        <w:spacing w:after="120"/>
      </w:pPr>
    </w:p>
    <w:p>
      <w:pPr>
        <w:spacing w:after="60" w:before="120"/>
        <w:jc w:val="center"/>
      </w:pPr>
      <w:r>
        <w:drawing>
          <wp:inline distT="0" distB="0" distL="0" distR="0">
            <wp:extent cx="5524500" cy="2762250"/>
            <wp:effectExtent t="0" r="0" b="0" l="0"/>
            <wp:docPr id="1" name="fig05b_ate_ladder.png" descr="Estimator ladder with 95% confidence intervals; the grey band is the published 95% CI of Hernán &amp; Robins (2020)."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spacing w:after="200"/>
      </w:pPr>
      <w:r>
        <w:rPr>
          <w:b/>
          <w:bCs/>
          <w:color w:val="7A7A7A"/>
          <w:sz w:val="18"/>
          <w:szCs w:val="18"/>
        </w:rPr>
        <w:t xml:space="preserve">Figure 4.</w:t>
      </w:r>
      <w:r>
        <w:rPr>
          <w:color w:val="7A7A7A"/>
          <w:sz w:val="18"/>
          <w:szCs w:val="18"/>
        </w:rPr>
        <w:t xml:space="preserve"> Estimator ladder with 95% confidence intervals; the grey band is the published 95% CI of Hernán &amp; Robins (2020).</w:t>
      </w:r>
    </w:p>
    <w:p>
      <w:pPr>
        <w:spacing w:after="120"/>
      </w:pPr>
      <w:r>
        <w:rPr>
          <w:b/>
          <w:bCs/>
        </w:rPr>
        <w:t xml:space="preserve">Validation.</w:t>
      </w:r>
      <w:r>
        <w:t xml:space="preserve"> IPW reproduces the published estimate of Hernán &amp; Robins (3.4 kg, 95% CI 2.4 to 4.5), and the direct estimator matches their standardization result (3.5 kg). </w:t>
      </w:r>
      <w:r>
        <w:rPr>
          <w:b/>
          <w:bCs/>
        </w:rPr>
        <w:t xml:space="preserve">Direction of the bias.</w:t>
      </w:r>
      <w:r>
        <w:t xml:space="preserve"> The naive estimate is too low: quitters were older and heavier at baseline, characteristics associated with smaller weight gain regardless of quitting, so the raw comparison hides part of the effect. Confounding can bias in either direction.</w:t>
      </w:r>
    </w:p>
    <w:p>
      <w:pPr>
        <w:pStyle w:val="Heading1"/>
      </w:pPr>
      <w:r>
        <w:t xml:space="preserve">8. Step 6: Evaluating heterogeneity</w:t>
      </w:r>
    </w:p>
    <w:p>
      <w:pPr>
        <w:spacing w:after="120"/>
      </w:pPr>
      <w:r>
        <w:t xml:space="preserve">A histogram of the forest's predictions τ(x) is not evidence of heterogeneity: every prediction carries noise, so predictions vary even when the true effect is identical for everyone. Three honest checks follow.</w:t>
      </w:r>
    </w:p>
    <w:p>
      <w:pPr>
        <w:pStyle w:val="Heading2"/>
      </w:pPr>
      <w:r>
        <w:t xml:space="preserve">8.1 Calibration test and revise loop</w:t>
      </w:r>
    </w:p>
    <w:p>
      <w:pPr>
        <w:spacing w:after="120"/>
      </w:pPr>
      <w:r>
        <w:t xml:space="preserve">The calibration test regresses Y − m(X) on the mean forest prediction and the differential forest prediction. The coefficient α ≈ 1 means the average effect is well calibrated; β significantly greater than 0 is omnibus evidence that heterogeneity exists.</w:t>
      </w:r>
    </w:p>
    <w:p>
      <w:pPr>
        <w:keepNext/>
        <w:spacing w:after="80" w:before="160"/>
      </w:pPr>
      <w:r>
        <w:rPr>
          <w:b/>
          <w:bCs/>
          <w:color w:val="7A7A7A"/>
          <w:sz w:val="18"/>
          <w:szCs w:val="18"/>
        </w:rPr>
        <w:t xml:space="preserve">Table 6.</w:t>
      </w:r>
      <w:r>
        <w:rPr>
          <w:color w:val="7A7A7A"/>
          <w:sz w:val="18"/>
          <w:szCs w:val="18"/>
        </w:rPr>
        <w:t xml:space="preserve"> Calibration test across leaf sizes (revise loop; selected forest in bold).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26"/>
        <w:gridCol w:w="1700"/>
        <w:gridCol w:w="1700"/>
        <w:gridCol w:w="1800"/>
        <w:gridCol w:w="1800"/>
      </w:tblGrid>
      <w:tr>
        <w:trPr>
          <w:tblHeader/>
        </w:trPr>
        <w:tc>
          <w:tcPr>
            <w:tcW w:type="dxa" w:w="2026"/>
            <w:shd w:fill="E8F3EF" w:color="auto" w:val="clear"/>
            <w:tcMar>
              <w:top w:type="dxa" w:w="60"/>
              <w:left w:type="dxa" w:w="100"/>
              <w:bottom w:type="dxa" w:w="60"/>
              <w:right w:type="dxa" w:w="100"/>
            </w:tcMar>
          </w:tcPr>
          <w:p>
            <w:pPr>
              <w:keepNext/>
              <w:jc w:val="left"/>
            </w:pPr>
            <w:r>
              <w:rPr>
                <w:b/>
                <w:bCs/>
                <w:sz w:val="19"/>
                <w:szCs w:val="19"/>
              </w:rPr>
              <w:t xml:space="preserve">min_samples_leaf</w:t>
            </w:r>
          </w:p>
        </w:tc>
        <w:tc>
          <w:tcPr>
            <w:tcW w:type="dxa" w:w="1700"/>
            <w:shd w:fill="E8F3EF" w:color="auto" w:val="clear"/>
            <w:tcMar>
              <w:top w:type="dxa" w:w="60"/>
              <w:left w:type="dxa" w:w="100"/>
              <w:bottom w:type="dxa" w:w="60"/>
              <w:right w:type="dxa" w:w="100"/>
            </w:tcMar>
          </w:tcPr>
          <w:p>
            <w:pPr>
              <w:keepNext/>
              <w:jc w:val="right"/>
            </w:pPr>
            <w:r>
              <w:rPr>
                <w:b/>
                <w:bCs/>
                <w:sz w:val="19"/>
                <w:szCs w:val="19"/>
              </w:rPr>
              <w:t xml:space="preserve">R-loss</w:t>
            </w:r>
          </w:p>
        </w:tc>
        <w:tc>
          <w:tcPr>
            <w:tcW w:type="dxa" w:w="1700"/>
            <w:shd w:fill="E8F3EF" w:color="auto" w:val="clear"/>
            <w:tcMar>
              <w:top w:type="dxa" w:w="60"/>
              <w:left w:type="dxa" w:w="100"/>
              <w:bottom w:type="dxa" w:w="60"/>
              <w:right w:type="dxa" w:w="100"/>
            </w:tcMar>
          </w:tcPr>
          <w:p>
            <w:pPr>
              <w:keepNext/>
              <w:jc w:val="right"/>
            </w:pPr>
            <w:r>
              <w:rPr>
                <w:b/>
                <w:bCs/>
                <w:sz w:val="19"/>
                <w:szCs w:val="19"/>
              </w:rPr>
              <w:t xml:space="preserve">α (mean)</w:t>
            </w:r>
          </w:p>
        </w:tc>
        <w:tc>
          <w:tcPr>
            <w:tcW w:type="dxa" w:w="1800"/>
            <w:shd w:fill="E8F3EF" w:color="auto" w:val="clear"/>
            <w:tcMar>
              <w:top w:type="dxa" w:w="60"/>
              <w:left w:type="dxa" w:w="100"/>
              <w:bottom w:type="dxa" w:w="60"/>
              <w:right w:type="dxa" w:w="100"/>
            </w:tcMar>
          </w:tcPr>
          <w:p>
            <w:pPr>
              <w:keepNext/>
              <w:jc w:val="right"/>
            </w:pPr>
            <w:r>
              <w:rPr>
                <w:b/>
                <w:bCs/>
                <w:sz w:val="19"/>
                <w:szCs w:val="19"/>
              </w:rPr>
              <w:t xml:space="preserve">β (differential)</w:t>
            </w:r>
          </w:p>
        </w:tc>
        <w:tc>
          <w:tcPr>
            <w:tcW w:type="dxa" w:w="1800"/>
            <w:shd w:fill="E8F3EF" w:color="auto" w:val="clear"/>
            <w:tcMar>
              <w:top w:type="dxa" w:w="60"/>
              <w:left w:type="dxa" w:w="100"/>
              <w:bottom w:type="dxa" w:w="60"/>
              <w:right w:type="dxa" w:w="100"/>
            </w:tcMar>
          </w:tcPr>
          <w:p>
            <w:pPr>
              <w:keepNext/>
              <w:jc w:val="right"/>
            </w:pPr>
            <w:r>
              <w:rPr>
                <w:b/>
                <w:bCs/>
                <w:sz w:val="19"/>
                <w:szCs w:val="19"/>
              </w:rPr>
              <w:t xml:space="preserve">p (β &gt; 0)</w:t>
            </w:r>
          </w:p>
        </w:tc>
      </w:tr>
      <w:tr>
        <w:trPr>
          <w:cantSplit/>
        </w:trPr>
        <w:tc>
          <w:tcPr>
            <w:tcW w:type="dxa" w:w="2026"/>
            <w:tcMar>
              <w:top w:type="dxa" w:w="60"/>
              <w:left w:type="dxa" w:w="100"/>
              <w:bottom w:type="dxa" w:w="60"/>
              <w:right w:type="dxa" w:w="100"/>
            </w:tcMar>
          </w:tcPr>
          <w:p>
            <w:pPr>
              <w:keepNext/>
              <w:jc w:val="left"/>
            </w:pPr>
            <w:r>
              <w:rPr>
                <w:sz w:val="19"/>
                <w:szCs w:val="19"/>
              </w:rPr>
              <w:t xml:space="preserve">5</w:t>
            </w:r>
          </w:p>
        </w:tc>
        <w:tc>
          <w:tcPr>
            <w:tcW w:type="dxa" w:w="1700"/>
            <w:tcMar>
              <w:top w:type="dxa" w:w="60"/>
              <w:left w:type="dxa" w:w="100"/>
              <w:bottom w:type="dxa" w:w="60"/>
              <w:right w:type="dxa" w:w="100"/>
            </w:tcMar>
          </w:tcPr>
          <w:p>
            <w:pPr>
              <w:keepNext/>
              <w:jc w:val="right"/>
            </w:pPr>
            <w:r>
              <w:rPr>
                <w:sz w:val="19"/>
                <w:szCs w:val="19"/>
              </w:rPr>
              <w:t xml:space="preserve">55.417</w:t>
            </w:r>
          </w:p>
        </w:tc>
        <w:tc>
          <w:tcPr>
            <w:tcW w:type="dxa" w:w="1700"/>
            <w:tcMar>
              <w:top w:type="dxa" w:w="60"/>
              <w:left w:type="dxa" w:w="100"/>
              <w:bottom w:type="dxa" w:w="60"/>
              <w:right w:type="dxa" w:w="100"/>
            </w:tcMar>
          </w:tcPr>
          <w:p>
            <w:pPr>
              <w:keepNext/>
              <w:jc w:val="right"/>
            </w:pPr>
            <w:r>
              <w:rPr>
                <w:sz w:val="19"/>
                <w:szCs w:val="19"/>
              </w:rPr>
              <w:t xml:space="preserve">0.99</w:t>
            </w:r>
          </w:p>
        </w:tc>
        <w:tc>
          <w:tcPr>
            <w:tcW w:type="dxa" w:w="1800"/>
            <w:tcMar>
              <w:top w:type="dxa" w:w="60"/>
              <w:left w:type="dxa" w:w="100"/>
              <w:bottom w:type="dxa" w:w="60"/>
              <w:right w:type="dxa" w:w="100"/>
            </w:tcMar>
          </w:tcPr>
          <w:p>
            <w:pPr>
              <w:keepNext/>
              <w:jc w:val="right"/>
            </w:pPr>
            <w:r>
              <w:rPr>
                <w:sz w:val="19"/>
                <w:szCs w:val="19"/>
              </w:rPr>
              <w:t xml:space="preserve">0.44</w:t>
            </w:r>
          </w:p>
        </w:tc>
        <w:tc>
          <w:tcPr>
            <w:tcW w:type="dxa" w:w="1800"/>
            <w:tcMar>
              <w:top w:type="dxa" w:w="60"/>
              <w:left w:type="dxa" w:w="100"/>
              <w:bottom w:type="dxa" w:w="60"/>
              <w:right w:type="dxa" w:w="100"/>
            </w:tcMar>
          </w:tcPr>
          <w:p>
            <w:pPr>
              <w:keepNext/>
              <w:jc w:val="right"/>
            </w:pPr>
            <w:r>
              <w:rPr>
                <w:sz w:val="19"/>
                <w:szCs w:val="19"/>
              </w:rPr>
              <w:t xml:space="preserve">0.135</w:t>
            </w:r>
          </w:p>
        </w:tc>
      </w:tr>
      <w:tr>
        <w:trPr>
          <w:cantSplit/>
        </w:trPr>
        <w:tc>
          <w:tcPr>
            <w:tcW w:type="dxa" w:w="2026"/>
            <w:tcMar>
              <w:top w:type="dxa" w:w="60"/>
              <w:left w:type="dxa" w:w="100"/>
              <w:bottom w:type="dxa" w:w="60"/>
              <w:right w:type="dxa" w:w="100"/>
            </w:tcMar>
          </w:tcPr>
          <w:p>
            <w:pPr>
              <w:keepNext/>
              <w:jc w:val="left"/>
            </w:pPr>
            <w:r>
              <w:rPr>
                <w:sz w:val="19"/>
                <w:szCs w:val="19"/>
              </w:rPr>
              <w:t xml:space="preserve">10</w:t>
            </w:r>
          </w:p>
        </w:tc>
        <w:tc>
          <w:tcPr>
            <w:tcW w:type="dxa" w:w="1700"/>
            <w:tcMar>
              <w:top w:type="dxa" w:w="60"/>
              <w:left w:type="dxa" w:w="100"/>
              <w:bottom w:type="dxa" w:w="60"/>
              <w:right w:type="dxa" w:w="100"/>
            </w:tcMar>
          </w:tcPr>
          <w:p>
            <w:pPr>
              <w:keepNext/>
              <w:jc w:val="right"/>
            </w:pPr>
            <w:r>
              <w:rPr>
                <w:sz w:val="19"/>
                <w:szCs w:val="19"/>
              </w:rPr>
              <w:t xml:space="preserve">55.358</w:t>
            </w:r>
          </w:p>
        </w:tc>
        <w:tc>
          <w:tcPr>
            <w:tcW w:type="dxa" w:w="1700"/>
            <w:tcMar>
              <w:top w:type="dxa" w:w="60"/>
              <w:left w:type="dxa" w:w="100"/>
              <w:bottom w:type="dxa" w:w="60"/>
              <w:right w:type="dxa" w:w="100"/>
            </w:tcMar>
          </w:tcPr>
          <w:p>
            <w:pPr>
              <w:keepNext/>
              <w:jc w:val="right"/>
            </w:pPr>
            <w:r>
              <w:rPr>
                <w:sz w:val="19"/>
                <w:szCs w:val="19"/>
              </w:rPr>
              <w:t xml:space="preserve">1.00</w:t>
            </w:r>
          </w:p>
        </w:tc>
        <w:tc>
          <w:tcPr>
            <w:tcW w:type="dxa" w:w="1800"/>
            <w:tcMar>
              <w:top w:type="dxa" w:w="60"/>
              <w:left w:type="dxa" w:w="100"/>
              <w:bottom w:type="dxa" w:w="60"/>
              <w:right w:type="dxa" w:w="100"/>
            </w:tcMar>
          </w:tcPr>
          <w:p>
            <w:pPr>
              <w:keepNext/>
              <w:jc w:val="right"/>
            </w:pPr>
            <w:r>
              <w:rPr>
                <w:sz w:val="19"/>
                <w:szCs w:val="19"/>
              </w:rPr>
              <w:t xml:space="preserve">0.54</w:t>
            </w:r>
          </w:p>
        </w:tc>
        <w:tc>
          <w:tcPr>
            <w:tcW w:type="dxa" w:w="1800"/>
            <w:tcMar>
              <w:top w:type="dxa" w:w="60"/>
              <w:left w:type="dxa" w:w="100"/>
              <w:bottom w:type="dxa" w:w="60"/>
              <w:right w:type="dxa" w:w="100"/>
            </w:tcMar>
          </w:tcPr>
          <w:p>
            <w:pPr>
              <w:keepNext/>
              <w:jc w:val="right"/>
            </w:pPr>
            <w:r>
              <w:rPr>
                <w:sz w:val="19"/>
                <w:szCs w:val="19"/>
              </w:rPr>
              <w:t xml:space="preserve">0.141</w:t>
            </w:r>
          </w:p>
        </w:tc>
      </w:tr>
      <w:tr>
        <w:trPr>
          <w:cantSplit/>
        </w:trPr>
        <w:tc>
          <w:tcPr>
            <w:tcW w:type="dxa" w:w="2026"/>
            <w:tcMar>
              <w:top w:type="dxa" w:w="60"/>
              <w:left w:type="dxa" w:w="100"/>
              <w:bottom w:type="dxa" w:w="60"/>
              <w:right w:type="dxa" w:w="100"/>
            </w:tcMar>
          </w:tcPr>
          <w:p>
            <w:pPr>
              <w:keepNext/>
              <w:jc w:val="left"/>
            </w:pPr>
            <w:r>
              <w:rPr>
                <w:sz w:val="19"/>
                <w:szCs w:val="19"/>
              </w:rPr>
              <w:t xml:space="preserve">20</w:t>
            </w:r>
          </w:p>
        </w:tc>
        <w:tc>
          <w:tcPr>
            <w:tcW w:type="dxa" w:w="1700"/>
            <w:tcMar>
              <w:top w:type="dxa" w:w="60"/>
              <w:left w:type="dxa" w:w="100"/>
              <w:bottom w:type="dxa" w:w="60"/>
              <w:right w:type="dxa" w:w="100"/>
            </w:tcMar>
          </w:tcPr>
          <w:p>
            <w:pPr>
              <w:keepNext/>
              <w:jc w:val="right"/>
            </w:pPr>
            <w:r>
              <w:rPr>
                <w:sz w:val="19"/>
                <w:szCs w:val="19"/>
              </w:rPr>
              <w:t xml:space="preserve">55.399</w:t>
            </w:r>
          </w:p>
        </w:tc>
        <w:tc>
          <w:tcPr>
            <w:tcW w:type="dxa" w:w="1700"/>
            <w:tcMar>
              <w:top w:type="dxa" w:w="60"/>
              <w:left w:type="dxa" w:w="100"/>
              <w:bottom w:type="dxa" w:w="60"/>
              <w:right w:type="dxa" w:w="100"/>
            </w:tcMar>
          </w:tcPr>
          <w:p>
            <w:pPr>
              <w:keepNext/>
              <w:jc w:val="right"/>
            </w:pPr>
            <w:r>
              <w:rPr>
                <w:sz w:val="19"/>
                <w:szCs w:val="19"/>
              </w:rPr>
              <w:t xml:space="preserve">1.00</w:t>
            </w:r>
          </w:p>
        </w:tc>
        <w:tc>
          <w:tcPr>
            <w:tcW w:type="dxa" w:w="1800"/>
            <w:tcMar>
              <w:top w:type="dxa" w:w="60"/>
              <w:left w:type="dxa" w:w="100"/>
              <w:bottom w:type="dxa" w:w="60"/>
              <w:right w:type="dxa" w:w="100"/>
            </w:tcMar>
          </w:tcPr>
          <w:p>
            <w:pPr>
              <w:keepNext/>
              <w:jc w:val="right"/>
            </w:pPr>
            <w:r>
              <w:rPr>
                <w:sz w:val="19"/>
                <w:szCs w:val="19"/>
              </w:rPr>
              <w:t xml:space="preserve">0.39</w:t>
            </w:r>
          </w:p>
        </w:tc>
        <w:tc>
          <w:tcPr>
            <w:tcW w:type="dxa" w:w="1800"/>
            <w:tcMar>
              <w:top w:type="dxa" w:w="60"/>
              <w:left w:type="dxa" w:w="100"/>
              <w:bottom w:type="dxa" w:w="60"/>
              <w:right w:type="dxa" w:w="100"/>
            </w:tcMar>
          </w:tcPr>
          <w:p>
            <w:pPr>
              <w:keepNext/>
              <w:jc w:val="right"/>
            </w:pPr>
            <w:r>
              <w:rPr>
                <w:sz w:val="19"/>
                <w:szCs w:val="19"/>
              </w:rPr>
              <w:t xml:space="preserve">0.294</w:t>
            </w:r>
          </w:p>
        </w:tc>
      </w:tr>
      <w:tr>
        <w:trPr>
          <w:cantSplit/>
        </w:trPr>
        <w:tc>
          <w:tcPr>
            <w:tcW w:type="dxa" w:w="2026"/>
            <w:tcMar>
              <w:top w:type="dxa" w:w="60"/>
              <w:left w:type="dxa" w:w="100"/>
              <w:bottom w:type="dxa" w:w="60"/>
              <w:right w:type="dxa" w:w="100"/>
            </w:tcMar>
          </w:tcPr>
          <w:p>
            <w:pPr>
              <w:keepNext w:val="false"/>
              <w:jc w:val="left"/>
            </w:pPr>
            <w:r>
              <w:rPr>
                <w:sz w:val="19"/>
                <w:szCs w:val="19"/>
              </w:rPr>
              <w:t xml:space="preserve">40</w:t>
            </w:r>
          </w:p>
        </w:tc>
        <w:tc>
          <w:tcPr>
            <w:tcW w:type="dxa" w:w="1700"/>
            <w:tcMar>
              <w:top w:type="dxa" w:w="60"/>
              <w:left w:type="dxa" w:w="100"/>
              <w:bottom w:type="dxa" w:w="60"/>
              <w:right w:type="dxa" w:w="100"/>
            </w:tcMar>
          </w:tcPr>
          <w:p>
            <w:pPr>
              <w:keepNext w:val="false"/>
              <w:jc w:val="right"/>
            </w:pPr>
            <w:r>
              <w:rPr>
                <w:sz w:val="19"/>
                <w:szCs w:val="19"/>
              </w:rPr>
              <w:t xml:space="preserve">55.459</w:t>
            </w:r>
          </w:p>
        </w:tc>
        <w:tc>
          <w:tcPr>
            <w:tcW w:type="dxa" w:w="1700"/>
            <w:tcMar>
              <w:top w:type="dxa" w:w="60"/>
              <w:left w:type="dxa" w:w="100"/>
              <w:bottom w:type="dxa" w:w="60"/>
              <w:right w:type="dxa" w:w="100"/>
            </w:tcMar>
          </w:tcPr>
          <w:p>
            <w:pPr>
              <w:keepNext w:val="false"/>
              <w:jc w:val="right"/>
            </w:pPr>
            <w:r>
              <w:rPr>
                <w:sz w:val="19"/>
                <w:szCs w:val="19"/>
              </w:rPr>
              <w:t xml:space="preserve">1.00</w:t>
            </w:r>
          </w:p>
        </w:tc>
        <w:tc>
          <w:tcPr>
            <w:tcW w:type="dxa" w:w="1800"/>
            <w:tcMar>
              <w:top w:type="dxa" w:w="60"/>
              <w:left w:type="dxa" w:w="100"/>
              <w:bottom w:type="dxa" w:w="60"/>
              <w:right w:type="dxa" w:w="100"/>
            </w:tcMar>
          </w:tcPr>
          <w:p>
            <w:pPr>
              <w:keepNext w:val="false"/>
              <w:jc w:val="right"/>
            </w:pPr>
            <w:r>
              <w:rPr>
                <w:sz w:val="19"/>
                <w:szCs w:val="19"/>
              </w:rPr>
              <w:t xml:space="preserve">−0.65</w:t>
            </w:r>
          </w:p>
        </w:tc>
        <w:tc>
          <w:tcPr>
            <w:tcW w:type="dxa" w:w="1800"/>
            <w:tcMar>
              <w:top w:type="dxa" w:w="60"/>
              <w:left w:type="dxa" w:w="100"/>
              <w:bottom w:type="dxa" w:w="60"/>
              <w:right w:type="dxa" w:w="100"/>
            </w:tcMar>
          </w:tcPr>
          <w:p>
            <w:pPr>
              <w:keepNext w:val="false"/>
              <w:jc w:val="right"/>
            </w:pPr>
            <w:r>
              <w:rPr>
                <w:sz w:val="19"/>
                <w:szCs w:val="19"/>
              </w:rPr>
              <w:t xml:space="preserve">0.705</w:t>
            </w:r>
          </w:p>
        </w:tc>
      </w:tr>
    </w:tbl>
    <w:p>
      <w:pPr>
        <w:spacing w:after="120"/>
      </w:pPr>
    </w:p>
    <w:p>
      <w:pPr>
        <w:spacing w:after="120"/>
      </w:pPr>
      <w:r>
        <w:t xml:space="preserve">For the selected forest, α = 1.00 (95% CI 0.72 to 1.27) and β = 0.54 (95% CI −0.45 to 1.53, one-sided p = 0.14). β is not significant for any leaf size: the average effect is well calibrated, but heterogeneity cannot be distinguished from noise.</w:t>
      </w:r>
    </w:p>
    <w:p>
      <w:pPr>
        <w:pStyle w:val="Heading2"/>
      </w:pPr>
      <w:r>
        <w:t xml:space="preserve">8.2 Predicted versus confirmed effects</w:t>
      </w:r>
    </w:p>
    <w:p>
      <w:pPr>
        <w:spacing w:after="60" w:before="120"/>
        <w:jc w:val="center"/>
      </w:pPr>
      <w:r>
        <w:drawing>
          <wp:inline distT="0" distB="0" distL="0" distR="0">
            <wp:extent cx="5619750" cy="2867025"/>
            <wp:effectExtent t="0" r="0" b="0" l="0"/>
            <wp:docPr id="1" name="fig06b_heterogeneity_check.png" descr="Left: out-of-bag CATE predictions. Right: doubly robust effect estimates per quartile of the predicted effect (grey bars: predictio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867025"/>
                    </a:xfrm>
                    <a:prstGeom prst="rect">
                      <a:avLst/>
                    </a:prstGeom>
                  </pic:spPr>
                </pic:pic>
              </a:graphicData>
            </a:graphic>
          </wp:inline>
        </w:drawing>
      </w:r>
    </w:p>
    <w:p>
      <w:pPr>
        <w:spacing w:after="200"/>
      </w:pPr>
      <w:r>
        <w:rPr>
          <w:b/>
          <w:bCs/>
          <w:color w:val="7A7A7A"/>
          <w:sz w:val="18"/>
          <w:szCs w:val="18"/>
        </w:rPr>
        <w:t xml:space="preserve">Figure 5.</w:t>
      </w:r>
      <w:r>
        <w:rPr>
          <w:color w:val="7A7A7A"/>
          <w:sz w:val="18"/>
          <w:szCs w:val="18"/>
        </w:rPr>
        <w:t xml:space="preserve"> Left: out-of-bag CATE predictions. Right: doubly robust effect estimates per quartile of the predicted effect (grey bars: predictions).</w:t>
      </w:r>
    </w:p>
    <w:p>
      <w:pPr>
        <w:spacing w:after="120"/>
      </w:pPr>
      <w:r>
        <w:t xml:space="preserve">The confirmed effects by quartile of the prediction are 3.01, 2.45, 3.30 and 4.77 kg. They do not rise monotonically, and the difference between the highest and the lowest quartile (1.76 kg, 95% CI −0.84 to 4.36) is not significant.</w:t>
      </w:r>
    </w:p>
    <w:p>
      <w:pPr>
        <w:pStyle w:val="Heading2"/>
      </w:pPr>
      <w:r>
        <w:t xml:space="preserve">8.3 Rank-weighted average treatment effect (RATE)</w:t>
      </w:r>
    </w:p>
    <w:p>
      <w:pPr>
        <w:spacing w:after="120"/>
      </w:pPr>
      <w:r>
        <w:t xml:space="preserve">With the split-and-score approach, a prioritization rule is learned on one half of the data and evaluated on the other. The causal forest ranking yields a RATE (AUTOC) of 0.29 kg (95% CI −1.38 to 1.97), the simple rule "cigarettes per day" 0.63 kg (95% CI −1.14 to 2.39). Neither rule identifies smokers with a reliably larger effect. The split halves the sample, which limits power (see Figure A4).</w:t>
      </w:r>
    </w:p>
    <w:p>
      <w:pPr>
        <w:spacing w:after="120"/>
      </w:pPr>
      <w:r>
        <w:rPr>
          <w:b/>
          <w:bCs/>
        </w:rPr>
        <w:t xml:space="preserve">Verdict:</w:t>
      </w:r>
      <w:r>
        <w:t xml:space="preserve"> the data cannot confirm heterogeneity. This is a result, not a failure, and Section 9.3 quantifies how large heterogeneity would have to be to be detected.</w:t>
      </w:r>
    </w:p>
    <w:p>
      <w:pPr>
        <w:pStyle w:val="Heading1"/>
      </w:pPr>
      <w:r>
        <w:t xml:space="preserve">9. Step 7: Robustness</w:t>
      </w:r>
    </w:p>
    <w:p>
      <w:pPr>
        <w:keepNext/>
        <w:spacing w:after="80" w:before="160"/>
      </w:pPr>
      <w:r>
        <w:rPr>
          <w:b/>
          <w:bCs/>
          <w:color w:val="7A7A7A"/>
          <w:sz w:val="18"/>
          <w:szCs w:val="18"/>
        </w:rPr>
        <w:t xml:space="preserve">Table 7.</w:t>
      </w:r>
      <w:r>
        <w:rPr>
          <w:color w:val="7A7A7A"/>
          <w:sz w:val="18"/>
          <w:szCs w:val="18"/>
        </w:rPr>
        <w:t xml:space="preserve"> Robustness scorecard.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626"/>
        <w:gridCol w:w="3500"/>
        <w:gridCol w:w="900"/>
      </w:tblGrid>
      <w:tr>
        <w:trPr>
          <w:tblHeader/>
        </w:trPr>
        <w:tc>
          <w:tcPr>
            <w:tcW w:type="dxa" w:w="2000"/>
            <w:shd w:fill="E8F3EF" w:color="auto" w:val="clear"/>
            <w:tcMar>
              <w:top w:type="dxa" w:w="60"/>
              <w:left w:type="dxa" w:w="100"/>
              <w:bottom w:type="dxa" w:w="60"/>
              <w:right w:type="dxa" w:w="100"/>
            </w:tcMar>
          </w:tcPr>
          <w:p>
            <w:pPr>
              <w:keepNext/>
              <w:jc w:val="left"/>
            </w:pPr>
            <w:r>
              <w:rPr>
                <w:b/>
                <w:bCs/>
                <w:sz w:val="19"/>
                <w:szCs w:val="19"/>
              </w:rPr>
              <w:t xml:space="preserve">Check</w:t>
            </w:r>
          </w:p>
        </w:tc>
        <w:tc>
          <w:tcPr>
            <w:tcW w:type="dxa" w:w="2626"/>
            <w:shd w:fill="E8F3EF" w:color="auto" w:val="clear"/>
            <w:tcMar>
              <w:top w:type="dxa" w:w="60"/>
              <w:left w:type="dxa" w:w="100"/>
              <w:bottom w:type="dxa" w:w="60"/>
              <w:right w:type="dxa" w:w="100"/>
            </w:tcMar>
          </w:tcPr>
          <w:p>
            <w:pPr>
              <w:keepNext/>
              <w:jc w:val="left"/>
            </w:pPr>
            <w:r>
              <w:rPr>
                <w:b/>
                <w:bCs/>
                <w:sz w:val="19"/>
                <w:szCs w:val="19"/>
              </w:rPr>
              <w:t xml:space="preserve">Idea</w:t>
            </w:r>
          </w:p>
        </w:tc>
        <w:tc>
          <w:tcPr>
            <w:tcW w:type="dxa" w:w="3500"/>
            <w:shd w:fill="E8F3EF" w:color="auto" w:val="clear"/>
            <w:tcMar>
              <w:top w:type="dxa" w:w="60"/>
              <w:left w:type="dxa" w:w="100"/>
              <w:bottom w:type="dxa" w:w="60"/>
              <w:right w:type="dxa" w:w="100"/>
            </w:tcMar>
          </w:tcPr>
          <w:p>
            <w:pPr>
              <w:keepNext/>
              <w:jc w:val="left"/>
            </w:pPr>
            <w:r>
              <w:rPr>
                <w:b/>
                <w:bCs/>
                <w:sz w:val="19"/>
                <w:szCs w:val="19"/>
              </w:rPr>
              <w:t xml:space="preserve">Result</w:t>
            </w:r>
          </w:p>
        </w:tc>
        <w:tc>
          <w:tcPr>
            <w:tcW w:type="dxa" w:w="900"/>
            <w:shd w:fill="E8F3EF" w:color="auto" w:val="clear"/>
            <w:tcMar>
              <w:top w:type="dxa" w:w="60"/>
              <w:left w:type="dxa" w:w="100"/>
              <w:bottom w:type="dxa" w:w="60"/>
              <w:right w:type="dxa" w:w="100"/>
            </w:tcMar>
          </w:tcPr>
          <w:p>
            <w:pPr>
              <w:keepNext/>
              <w:jc w:val="left"/>
            </w:pPr>
            <w:r>
              <w:rPr>
                <w:b/>
                <w:bCs/>
                <w:sz w:val="19"/>
                <w:szCs w:val="19"/>
              </w:rPr>
              <w:t xml:space="preserve">Passed</w:t>
            </w:r>
          </w:p>
        </w:tc>
      </w:tr>
      <w:tr>
        <w:trPr>
          <w:cantSplit/>
        </w:trPr>
        <w:tc>
          <w:tcPr>
            <w:tcW w:type="dxa" w:w="2000"/>
            <w:tcMar>
              <w:top w:type="dxa" w:w="60"/>
              <w:left w:type="dxa" w:w="100"/>
              <w:bottom w:type="dxa" w:w="60"/>
              <w:right w:type="dxa" w:w="100"/>
            </w:tcMar>
          </w:tcPr>
          <w:p>
            <w:pPr>
              <w:keepNext/>
              <w:jc w:val="left"/>
            </w:pPr>
            <w:r>
              <w:rPr>
                <w:sz w:val="19"/>
                <w:szCs w:val="19"/>
              </w:rPr>
              <w:t xml:space="preserve">Placebo treatment</w:t>
            </w:r>
          </w:p>
        </w:tc>
        <w:tc>
          <w:tcPr>
            <w:tcW w:type="dxa" w:w="2626"/>
            <w:tcMar>
              <w:top w:type="dxa" w:w="60"/>
              <w:left w:type="dxa" w:w="100"/>
              <w:bottom w:type="dxa" w:w="60"/>
              <w:right w:type="dxa" w:w="100"/>
            </w:tcMar>
          </w:tcPr>
          <w:p>
            <w:pPr>
              <w:keepNext/>
              <w:jc w:val="left"/>
            </w:pPr>
            <w:r>
              <w:rPr>
                <w:sz w:val="19"/>
                <w:szCs w:val="19"/>
              </w:rPr>
              <w:t xml:space="preserve">Replace W by a random permutation (20 refits)</w:t>
            </w:r>
          </w:p>
        </w:tc>
        <w:tc>
          <w:tcPr>
            <w:tcW w:type="dxa" w:w="3500"/>
            <w:tcMar>
              <w:top w:type="dxa" w:w="60"/>
              <w:left w:type="dxa" w:w="100"/>
              <w:bottom w:type="dxa" w:w="60"/>
              <w:right w:type="dxa" w:w="100"/>
            </w:tcMar>
          </w:tcPr>
          <w:p>
            <w:pPr>
              <w:keepNext/>
              <w:jc w:val="left"/>
            </w:pPr>
            <w:r>
              <w:rPr>
                <w:sz w:val="19"/>
                <w:szCs w:val="19"/>
              </w:rPr>
              <w:t xml:space="preserve">Mean placebo effect +0.06 kg; real effect outside all placebo effects (p = 0.048)</w:t>
            </w:r>
          </w:p>
        </w:tc>
        <w:tc>
          <w:tcPr>
            <w:tcW w:type="dxa" w:w="900"/>
            <w:tcMar>
              <w:top w:type="dxa" w:w="60"/>
              <w:left w:type="dxa" w:w="100"/>
              <w:bottom w:type="dxa" w:w="60"/>
              <w:right w:type="dxa" w:w="100"/>
            </w:tcMar>
          </w:tcPr>
          <w:p>
            <w:pPr>
              <w:keepNext/>
              <w:jc w:val="left"/>
            </w:pPr>
            <w:r>
              <w:rPr>
                <w:sz w:val="19"/>
                <w:szCs w:val="19"/>
              </w:rPr>
              <w:t xml:space="preserve">Yes</w:t>
            </w:r>
          </w:p>
        </w:tc>
      </w:tr>
      <w:tr>
        <w:trPr>
          <w:cantSplit/>
        </w:trPr>
        <w:tc>
          <w:tcPr>
            <w:tcW w:type="dxa" w:w="2000"/>
            <w:tcMar>
              <w:top w:type="dxa" w:w="60"/>
              <w:left w:type="dxa" w:w="100"/>
              <w:bottom w:type="dxa" w:w="60"/>
              <w:right w:type="dxa" w:w="100"/>
            </w:tcMar>
          </w:tcPr>
          <w:p>
            <w:pPr>
              <w:keepNext/>
              <w:jc w:val="left"/>
            </w:pPr>
            <w:r>
              <w:rPr>
                <w:sz w:val="19"/>
                <w:szCs w:val="19"/>
              </w:rPr>
              <w:t xml:space="preserve">Random common cause</w:t>
            </w:r>
          </w:p>
        </w:tc>
        <w:tc>
          <w:tcPr>
            <w:tcW w:type="dxa" w:w="2626"/>
            <w:tcMar>
              <w:top w:type="dxa" w:w="60"/>
              <w:left w:type="dxa" w:w="100"/>
              <w:bottom w:type="dxa" w:w="60"/>
              <w:right w:type="dxa" w:w="100"/>
            </w:tcMar>
          </w:tcPr>
          <w:p>
            <w:pPr>
              <w:keepNext/>
              <w:jc w:val="left"/>
            </w:pPr>
            <w:r>
              <w:rPr>
                <w:sz w:val="19"/>
                <w:szCs w:val="19"/>
              </w:rPr>
              <w:t xml:space="preserve">Add a pure-noise covariate (5 refits)</w:t>
            </w:r>
          </w:p>
        </w:tc>
        <w:tc>
          <w:tcPr>
            <w:tcW w:type="dxa" w:w="3500"/>
            <w:tcMar>
              <w:top w:type="dxa" w:w="60"/>
              <w:left w:type="dxa" w:w="100"/>
              <w:bottom w:type="dxa" w:w="60"/>
              <w:right w:type="dxa" w:w="100"/>
            </w:tcMar>
          </w:tcPr>
          <w:p>
            <w:pPr>
              <w:keepNext/>
              <w:jc w:val="left"/>
            </w:pPr>
            <w:r>
              <w:rPr>
                <w:sz w:val="19"/>
                <w:szCs w:val="19"/>
              </w:rPr>
              <w:t xml:space="preserve">Largest shift 0.10 kg (threshold 0.23 kg)</w:t>
            </w:r>
          </w:p>
        </w:tc>
        <w:tc>
          <w:tcPr>
            <w:tcW w:type="dxa" w:w="900"/>
            <w:tcMar>
              <w:top w:type="dxa" w:w="60"/>
              <w:left w:type="dxa" w:w="100"/>
              <w:bottom w:type="dxa" w:w="60"/>
              <w:right w:type="dxa" w:w="100"/>
            </w:tcMar>
          </w:tcPr>
          <w:p>
            <w:pPr>
              <w:keepNext/>
              <w:jc w:val="left"/>
            </w:pPr>
            <w:r>
              <w:rPr>
                <w:sz w:val="19"/>
                <w:szCs w:val="19"/>
              </w:rPr>
              <w:t xml:space="preserve">Yes</w:t>
            </w:r>
          </w:p>
        </w:tc>
      </w:tr>
      <w:tr>
        <w:trPr>
          <w:cantSplit/>
        </w:trPr>
        <w:tc>
          <w:tcPr>
            <w:tcW w:type="dxa" w:w="2000"/>
            <w:tcMar>
              <w:top w:type="dxa" w:w="60"/>
              <w:left w:type="dxa" w:w="100"/>
              <w:bottom w:type="dxa" w:w="60"/>
              <w:right w:type="dxa" w:w="100"/>
            </w:tcMar>
          </w:tcPr>
          <w:p>
            <w:pPr>
              <w:keepNext/>
              <w:jc w:val="left"/>
            </w:pPr>
            <w:r>
              <w:rPr>
                <w:sz w:val="19"/>
                <w:szCs w:val="19"/>
              </w:rPr>
              <w:t xml:space="preserve">Semi-synthetic outcome</w:t>
            </w:r>
          </w:p>
        </w:tc>
        <w:tc>
          <w:tcPr>
            <w:tcW w:type="dxa" w:w="2626"/>
            <w:tcMar>
              <w:top w:type="dxa" w:w="60"/>
              <w:left w:type="dxa" w:w="100"/>
              <w:bottom w:type="dxa" w:w="60"/>
              <w:right w:type="dxa" w:w="100"/>
            </w:tcMar>
          </w:tcPr>
          <w:p>
            <w:pPr>
              <w:keepNext/>
              <w:jc w:val="left"/>
            </w:pPr>
            <w:r>
              <w:rPr>
                <w:sz w:val="19"/>
                <w:szCs w:val="19"/>
              </w:rPr>
              <w:t xml:space="preserve">Real X and W, synthetic Y with known effect</w:t>
            </w:r>
          </w:p>
        </w:tc>
        <w:tc>
          <w:tcPr>
            <w:tcW w:type="dxa" w:w="3500"/>
            <w:tcMar>
              <w:top w:type="dxa" w:w="60"/>
              <w:left w:type="dxa" w:w="100"/>
              <w:bottom w:type="dxa" w:w="60"/>
              <w:right w:type="dxa" w:w="100"/>
            </w:tcMar>
          </w:tcPr>
          <w:p>
            <w:pPr>
              <w:keepNext/>
              <w:jc w:val="left"/>
            </w:pPr>
            <w:r>
              <w:rPr>
                <w:sz w:val="19"/>
                <w:szCs w:val="19"/>
              </w:rPr>
              <w:t xml:space="preserve">Bias +0.08 kg, CI coverage 100%</w:t>
            </w:r>
          </w:p>
        </w:tc>
        <w:tc>
          <w:tcPr>
            <w:tcW w:type="dxa" w:w="900"/>
            <w:tcMar>
              <w:top w:type="dxa" w:w="60"/>
              <w:left w:type="dxa" w:w="100"/>
              <w:bottom w:type="dxa" w:w="60"/>
              <w:right w:type="dxa" w:w="100"/>
            </w:tcMar>
          </w:tcPr>
          <w:p>
            <w:pPr>
              <w:keepNext/>
              <w:jc w:val="left"/>
            </w:pPr>
            <w:r>
              <w:rPr>
                <w:sz w:val="19"/>
                <w:szCs w:val="19"/>
              </w:rPr>
              <w:t xml:space="preserve">Yes</w:t>
            </w:r>
          </w:p>
        </w:tc>
      </w:tr>
      <w:tr>
        <w:trPr>
          <w:cantSplit/>
        </w:trPr>
        <w:tc>
          <w:tcPr>
            <w:tcW w:type="dxa" w:w="2000"/>
            <w:tcMar>
              <w:top w:type="dxa" w:w="60"/>
              <w:left w:type="dxa" w:w="100"/>
              <w:bottom w:type="dxa" w:w="60"/>
              <w:right w:type="dxa" w:w="100"/>
            </w:tcMar>
          </w:tcPr>
          <w:p>
            <w:pPr>
              <w:keepNext/>
              <w:jc w:val="left"/>
            </w:pPr>
            <w:r>
              <w:rPr>
                <w:sz w:val="19"/>
                <w:szCs w:val="19"/>
              </w:rPr>
              <w:t xml:space="preserve">Unmeasured confounding</w:t>
            </w:r>
          </w:p>
        </w:tc>
        <w:tc>
          <w:tcPr>
            <w:tcW w:type="dxa" w:w="2626"/>
            <w:tcMar>
              <w:top w:type="dxa" w:w="60"/>
              <w:left w:type="dxa" w:w="100"/>
              <w:bottom w:type="dxa" w:w="60"/>
              <w:right w:type="dxa" w:w="100"/>
            </w:tcMar>
          </w:tcPr>
          <w:p>
            <w:pPr>
              <w:keepNext/>
              <w:jc w:val="left"/>
            </w:pPr>
            <w:r>
              <w:rPr>
                <w:sz w:val="19"/>
                <w:szCs w:val="19"/>
              </w:rPr>
              <w:t xml:space="preserve">Omitted-variable-bias bounds (Cinelli &amp; Hazlett)</w:t>
            </w:r>
          </w:p>
        </w:tc>
        <w:tc>
          <w:tcPr>
            <w:tcW w:type="dxa" w:w="3500"/>
            <w:tcMar>
              <w:top w:type="dxa" w:w="60"/>
              <w:left w:type="dxa" w:w="100"/>
              <w:bottom w:type="dxa" w:w="60"/>
              <w:right w:type="dxa" w:w="100"/>
            </w:tcMar>
          </w:tcPr>
          <w:p>
            <w:pPr>
              <w:keepNext/>
              <w:jc w:val="left"/>
            </w:pPr>
            <w:r>
              <w:rPr>
                <w:sz w:val="19"/>
                <w:szCs w:val="19"/>
              </w:rPr>
              <w:t xml:space="preserve">Robustness value 18%; U needs about 9 times the strength of age</w:t>
            </w:r>
          </w:p>
        </w:tc>
        <w:tc>
          <w:tcPr>
            <w:tcW w:type="dxa" w:w="900"/>
            <w:tcMar>
              <w:top w:type="dxa" w:w="60"/>
              <w:left w:type="dxa" w:w="100"/>
              <w:bottom w:type="dxa" w:w="60"/>
              <w:right w:type="dxa" w:w="100"/>
            </w:tcMar>
          </w:tcPr>
          <w:p>
            <w:pPr>
              <w:keepNext/>
              <w:jc w:val="left"/>
            </w:pPr>
            <w:r>
              <w:rPr>
                <w:sz w:val="19"/>
                <w:szCs w:val="19"/>
              </w:rPr>
              <w:t xml:space="preserve">Yes</w:t>
            </w:r>
          </w:p>
        </w:tc>
      </w:tr>
      <w:tr>
        <w:trPr>
          <w:cantSplit/>
        </w:trPr>
        <w:tc>
          <w:tcPr>
            <w:tcW w:type="dxa" w:w="2000"/>
            <w:tcMar>
              <w:top w:type="dxa" w:w="60"/>
              <w:left w:type="dxa" w:w="100"/>
              <w:bottom w:type="dxa" w:w="60"/>
              <w:right w:type="dxa" w:w="100"/>
            </w:tcMar>
          </w:tcPr>
          <w:p>
            <w:pPr>
              <w:keepNext w:val="false"/>
              <w:jc w:val="left"/>
            </w:pPr>
            <w:r>
              <w:rPr>
                <w:sz w:val="19"/>
                <w:szCs w:val="19"/>
              </w:rPr>
              <w:t xml:space="preserve">Missing outcomes</w:t>
            </w:r>
          </w:p>
        </w:tc>
        <w:tc>
          <w:tcPr>
            <w:tcW w:type="dxa" w:w="2626"/>
            <w:tcMar>
              <w:top w:type="dxa" w:w="60"/>
              <w:left w:type="dxa" w:w="100"/>
              <w:bottom w:type="dxa" w:w="60"/>
              <w:right w:type="dxa" w:w="100"/>
            </w:tcMar>
          </w:tcPr>
          <w:p>
            <w:pPr>
              <w:keepNext w:val="false"/>
              <w:jc w:val="left"/>
            </w:pPr>
            <w:r>
              <w:rPr>
                <w:sz w:val="19"/>
                <w:szCs w:val="19"/>
              </w:rPr>
              <w:t xml:space="preserve">Inverse probability weighting for censoring</w:t>
            </w:r>
          </w:p>
        </w:tc>
        <w:tc>
          <w:tcPr>
            <w:tcW w:type="dxa" w:w="3500"/>
            <w:tcMar>
              <w:top w:type="dxa" w:w="60"/>
              <w:left w:type="dxa" w:w="100"/>
              <w:bottom w:type="dxa" w:w="60"/>
              <w:right w:type="dxa" w:w="100"/>
            </w:tcMar>
          </w:tcPr>
          <w:p>
            <w:pPr>
              <w:keepNext w:val="false"/>
              <w:jc w:val="left"/>
            </w:pPr>
            <w:r>
              <w:rPr>
                <w:sz w:val="19"/>
                <w:szCs w:val="19"/>
              </w:rPr>
              <w:t xml:space="preserve">3.50 kg with vs. 3.44 kg without censoring weights</w:t>
            </w:r>
          </w:p>
        </w:tc>
        <w:tc>
          <w:tcPr>
            <w:tcW w:type="dxa" w:w="900"/>
            <w:tcMar>
              <w:top w:type="dxa" w:w="60"/>
              <w:left w:type="dxa" w:w="100"/>
              <w:bottom w:type="dxa" w:w="60"/>
              <w:right w:type="dxa" w:w="100"/>
            </w:tcMar>
          </w:tcPr>
          <w:p>
            <w:pPr>
              <w:keepNext w:val="false"/>
              <w:jc w:val="left"/>
            </w:pPr>
            <w:r>
              <w:rPr>
                <w:sz w:val="19"/>
                <w:szCs w:val="19"/>
              </w:rPr>
              <w:t xml:space="preserve">Yes</w:t>
            </w:r>
          </w:p>
        </w:tc>
      </w:tr>
    </w:tbl>
    <w:p>
      <w:pPr>
        <w:spacing w:after="120"/>
      </w:pPr>
    </w:p>
    <w:p>
      <w:pPr>
        <w:pStyle w:val="Heading2"/>
      </w:pPr>
      <w:r>
        <w:t xml:space="preserve">9.1 Placebo treatment</w:t>
      </w:r>
    </w:p>
    <w:p>
      <w:pPr>
        <w:spacing w:after="120"/>
      </w:pPr>
      <w:r>
        <w:t xml:space="preserve">With a randomly permuted treatment, the pipeline estimates effects around zero (mean +0.06 kg, SD 0.52 kg), and the real effect lies outside all 20 placebo effects. The permutation p-value of 0.048 is the smallest attainable with 20 refits (1/21). A failure here would have sent the analysis back to Step 4 (feedback loop).</w:t>
      </w:r>
    </w:p>
    <w:p>
      <w:pPr>
        <w:pStyle w:val="Heading2"/>
      </w:pPr>
      <w:r>
        <w:t xml:space="preserve">9.2 Random common cause</w:t>
      </w:r>
    </w:p>
    <w:p>
      <w:pPr>
        <w:spacing w:after="120"/>
      </w:pPr>
      <w:r>
        <w:t xml:space="preserve">Adding a pure-noise covariate shifts the ATE by at most 0.10 kg. The noise variable nevertheless ranks second of ten in the forest's split importance in all five refits, which confirms that split importance is not evidence of effect heterogeneity.</w:t>
      </w:r>
    </w:p>
    <w:p>
      <w:pPr>
        <w:pStyle w:val="Heading2"/>
      </w:pPr>
      <w:r>
        <w:t xml:space="preserve">9.3 Semi-synthetic outcome: bias and power</w:t>
      </w:r>
    </w:p>
    <w:p>
      <w:pPr>
        <w:spacing w:after="120"/>
      </w:pPr>
      <w:r>
        <w:t xml:space="preserve">The real covariates and the real, confounded treatment were kept, and the outcome was replaced by a synthetic one with a known effect and the real noise level (five replicates per scenario).</w:t>
      </w:r>
    </w:p>
    <w:p>
      <w:pPr>
        <w:pStyle w:val="ListParagraph"/>
        <w:numPr>
          <w:ilvl w:val="0"/>
          <w:numId w:val="3"/>
        </w:numPr>
        <w:spacing w:after="80"/>
      </w:pPr>
      <w:r>
        <w:rPr>
          <w:b/>
          <w:bCs/>
        </w:rPr>
        <w:t xml:space="preserve">No heterogeneity</w:t>
      </w:r>
      <w:r>
        <w:t xml:space="preserve"> (true effect 3.40 kg for everyone): naive 2.78 kg, pipeline 3.48 kg, CI coverage 5 of 5, no false heterogeneity alarms (0 of 5).</w:t>
      </w:r>
    </w:p>
    <w:p>
      <w:pPr>
        <w:pStyle w:val="ListParagraph"/>
        <w:numPr>
          <w:ilvl w:val="0"/>
          <w:numId w:val="3"/>
        </w:numPr>
        <w:spacing w:after="80"/>
      </w:pPr>
      <w:r>
        <w:rPr>
          <w:b/>
          <w:bCs/>
        </w:rPr>
        <w:t xml:space="preserve">Strong heterogeneity</w:t>
      </w:r>
      <w:r>
        <w:t xml:space="preserve"> (2 kg more per 10 cigarettes/day, true ATE 4.11 kg): pipeline 4.03 kg, heterogeneity detected in 5 of 5 replicates, estimated slope 1.93 vs. true 2.00 kg per 10 cigarettes.</w:t>
      </w:r>
    </w:p>
    <w:p>
      <w:pPr>
        <w:spacing w:after="120"/>
      </w:pPr>
      <w:r>
        <w:t xml:space="preserve">The pipeline removes the confounding bias of the naive comparison and detects strong heterogeneity. Real heterogeneity, if present, is therefore smaller than about 2 kg per 10 cigarettes/day.</w:t>
      </w:r>
    </w:p>
    <w:p>
      <w:pPr>
        <w:pStyle w:val="Heading2"/>
      </w:pPr>
      <w:r>
        <w:t xml:space="preserve">9.4 Sensitivity to unmeasured confounding</w:t>
      </w:r>
    </w:p>
    <w:p>
      <w:pPr>
        <w:spacing w:after="60" w:before="120"/>
        <w:jc w:val="center"/>
      </w:pPr>
      <w:r>
        <w:drawing>
          <wp:inline distT="0" distB="0" distL="0" distR="0">
            <wp:extent cx="5143500" cy="2990850"/>
            <wp:effectExtent t="0" r="0" b="0" l="0"/>
            <wp:docPr id="1" name="fig07c_sensitivity_contour.png" descr="Bias-adjusted estimate for hypothetical unmeasured confounders U, described by their partial R² with quitting and with weight change; benchmarks at one to three times the strength of observed covariat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90850"/>
                    </a:xfrm>
                    <a:prstGeom prst="rect">
                      <a:avLst/>
                    </a:prstGeom>
                  </pic:spPr>
                </pic:pic>
              </a:graphicData>
            </a:graphic>
          </wp:inline>
        </w:drawing>
      </w:r>
    </w:p>
    <w:p>
      <w:pPr>
        <w:spacing w:after="200"/>
      </w:pPr>
      <w:r>
        <w:rPr>
          <w:b/>
          <w:bCs/>
          <w:color w:val="7A7A7A"/>
          <w:sz w:val="18"/>
          <w:szCs w:val="18"/>
        </w:rPr>
        <w:t xml:space="preserve">Figure 6.</w:t>
      </w:r>
      <w:r>
        <w:rPr>
          <w:color w:val="7A7A7A"/>
          <w:sz w:val="18"/>
          <w:szCs w:val="18"/>
        </w:rPr>
        <w:t xml:space="preserve"> Bias-adjusted estimate for hypothetical unmeasured confounders U, described by their partial R² with quitting and with weight change; benchmarks at one to three times the strength of observed covariates.</w:t>
      </w:r>
    </w:p>
    <w:p>
      <w:pPr>
        <w:spacing w:after="120"/>
      </w:pPr>
      <w:r>
        <w:t xml:space="preserve">On the linear adjustment estimate (3.46 kg, SE 0.44), the robustness value is 18.2%: a confounder explaining 18.2% of the residual variance of both quitting and weight change would erase the effect; 14.0% would make it insignificant. A confounder as strong as age reduces the estimate to 3.09 kg (95% CI 2.24 to 3.94), one three times as strong as age to 2.32 kg (1.49 to 3.15). To erase the effect, U would need about 9 times the strength of age, 23 times that of baseline weight or 24.5 times that of smoking intensity.</w:t>
      </w:r>
    </w:p>
    <w:p>
      <w:pPr>
        <w:pStyle w:val="Heading2"/>
      </w:pPr>
      <w:r>
        <w:t xml:space="preserve">9.5 Missing outcomes</w:t>
      </w:r>
    </w:p>
    <w:p>
      <w:pPr>
        <w:spacing w:after="120"/>
      </w:pPr>
      <w:r>
        <w:t xml:space="preserve">Weighting the uncensored by the inverse probability of remaining uncensored, given treatment and covariates, reconstructs the full cohort of 1,629 and yields 3.50 kg (95% CI 2.47 to 4.53), as reported by Hernán &amp; Robins. The complete-case analysis (3.44 kg) is therefore not materially affected by censoring.</w:t>
      </w:r>
    </w:p>
    <w:p>
      <w:pPr>
        <w:pStyle w:val="Heading1"/>
      </w:pPr>
      <w:r>
        <w:t xml:space="preserve">10. Step 8: Interpretation</w:t>
      </w:r>
    </w:p>
    <w:p>
      <w:pPr>
        <w:spacing w:after="120"/>
      </w:pPr>
      <w:r>
        <w:t xml:space="preserve">Because the calibration test did not confirm heterogeneity, the following results are exploratory descriptions, not findings.</w:t>
      </w:r>
    </w:p>
    <w:p>
      <w:pPr>
        <w:pStyle w:val="Heading2"/>
      </w:pPr>
      <w:r>
        <w:t xml:space="preserve">10.1 Best linear projection</w:t>
      </w:r>
    </w:p>
    <w:p>
      <w:pPr>
        <w:keepNext/>
        <w:spacing w:after="80" w:before="160"/>
      </w:pPr>
      <w:r>
        <w:rPr>
          <w:b/>
          <w:bCs/>
          <w:color w:val="7A7A7A"/>
          <w:sz w:val="18"/>
          <w:szCs w:val="18"/>
        </w:rPr>
        <w:t xml:space="preserve">Table 8.</w:t>
      </w:r>
      <w:r>
        <w:rPr>
          <w:color w:val="7A7A7A"/>
          <w:sz w:val="18"/>
          <w:szCs w:val="18"/>
        </w:rPr>
        <w:t xml:space="preserve"> Best linear projection of the doubly robust scores (covariates centred; intercept = ATE for an average smoker).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826"/>
        <w:gridCol w:w="1800"/>
        <w:gridCol w:w="2200"/>
        <w:gridCol w:w="1200"/>
      </w:tblGrid>
      <w:tr>
        <w:trPr>
          <w:tblHeader/>
        </w:trPr>
        <w:tc>
          <w:tcPr>
            <w:tcW w:type="dxa" w:w="3826"/>
            <w:shd w:fill="E8F3EF" w:color="auto" w:val="clear"/>
            <w:tcMar>
              <w:top w:type="dxa" w:w="60"/>
              <w:left w:type="dxa" w:w="100"/>
              <w:bottom w:type="dxa" w:w="60"/>
              <w:right w:type="dxa" w:w="100"/>
            </w:tcMar>
          </w:tcPr>
          <w:p>
            <w:pPr>
              <w:keepNext/>
              <w:jc w:val="left"/>
            </w:pPr>
            <w:r>
              <w:rPr>
                <w:b/>
                <w:bCs/>
                <w:sz w:val="19"/>
                <w:szCs w:val="19"/>
              </w:rPr>
              <w:t xml:space="preserve">Term</w:t>
            </w:r>
          </w:p>
        </w:tc>
        <w:tc>
          <w:tcPr>
            <w:tcW w:type="dxa" w:w="1800"/>
            <w:shd w:fill="E8F3EF" w:color="auto" w:val="clear"/>
            <w:tcMar>
              <w:top w:type="dxa" w:w="60"/>
              <w:left w:type="dxa" w:w="100"/>
              <w:bottom w:type="dxa" w:w="60"/>
              <w:right w:type="dxa" w:w="100"/>
            </w:tcMar>
          </w:tcPr>
          <w:p>
            <w:pPr>
              <w:keepNext/>
              <w:jc w:val="right"/>
            </w:pPr>
            <w:r>
              <w:rPr>
                <w:b/>
                <w:bCs/>
                <w:sz w:val="19"/>
                <w:szCs w:val="19"/>
              </w:rPr>
              <w:t xml:space="preserve">Coefficient (kg)</w:t>
            </w:r>
          </w:p>
        </w:tc>
        <w:tc>
          <w:tcPr>
            <w:tcW w:type="dxa" w:w="2200"/>
            <w:shd w:fill="E8F3EF" w:color="auto" w:val="clear"/>
            <w:tcMar>
              <w:top w:type="dxa" w:w="60"/>
              <w:left w:type="dxa" w:w="100"/>
              <w:bottom w:type="dxa" w:w="60"/>
              <w:right w:type="dxa" w:w="100"/>
            </w:tcMar>
          </w:tcPr>
          <w:p>
            <w:pPr>
              <w:keepNext/>
              <w:jc w:val="right"/>
            </w:pPr>
            <w:r>
              <w:rPr>
                <w:b/>
                <w:bCs/>
                <w:sz w:val="19"/>
                <w:szCs w:val="19"/>
              </w:rPr>
              <w:t xml:space="preserve">95% CI</w:t>
            </w:r>
          </w:p>
        </w:tc>
        <w:tc>
          <w:tcPr>
            <w:tcW w:type="dxa" w:w="1200"/>
            <w:shd w:fill="E8F3EF" w:color="auto" w:val="clear"/>
            <w:tcMar>
              <w:top w:type="dxa" w:w="60"/>
              <w:left w:type="dxa" w:w="100"/>
              <w:bottom w:type="dxa" w:w="60"/>
              <w:right w:type="dxa" w:w="100"/>
            </w:tcMar>
          </w:tcPr>
          <w:p>
            <w:pPr>
              <w:keepNext/>
              <w:jc w:val="right"/>
            </w:pPr>
            <w:r>
              <w:rPr>
                <w:b/>
                <w:bCs/>
                <w:sz w:val="19"/>
                <w:szCs w:val="19"/>
              </w:rPr>
              <w:t xml:space="preserve">p</w:t>
            </w:r>
          </w:p>
        </w:tc>
      </w:tr>
      <w:tr>
        <w:trPr>
          <w:cantSplit/>
        </w:trPr>
        <w:tc>
          <w:tcPr>
            <w:tcW w:type="dxa" w:w="3826"/>
            <w:tcMar>
              <w:top w:type="dxa" w:w="60"/>
              <w:left w:type="dxa" w:w="100"/>
              <w:bottom w:type="dxa" w:w="60"/>
              <w:right w:type="dxa" w:w="100"/>
            </w:tcMar>
          </w:tcPr>
          <w:p>
            <w:pPr>
              <w:keepNext/>
              <w:jc w:val="left"/>
            </w:pPr>
            <w:r>
              <w:rPr>
                <w:sz w:val="19"/>
                <w:szCs w:val="19"/>
              </w:rPr>
              <w:t xml:space="preserve">Intercept</w:t>
            </w:r>
          </w:p>
        </w:tc>
        <w:tc>
          <w:tcPr>
            <w:tcW w:type="dxa" w:w="1800"/>
            <w:tcMar>
              <w:top w:type="dxa" w:w="60"/>
              <w:left w:type="dxa" w:w="100"/>
              <w:bottom w:type="dxa" w:w="60"/>
              <w:right w:type="dxa" w:w="100"/>
            </w:tcMar>
          </w:tcPr>
          <w:p>
            <w:pPr>
              <w:keepNext/>
              <w:jc w:val="right"/>
            </w:pPr>
            <w:r>
              <w:rPr>
                <w:sz w:val="19"/>
                <w:szCs w:val="19"/>
              </w:rPr>
              <w:t xml:space="preserve">3.38</w:t>
            </w:r>
          </w:p>
        </w:tc>
        <w:tc>
          <w:tcPr>
            <w:tcW w:type="dxa" w:w="2200"/>
            <w:tcMar>
              <w:top w:type="dxa" w:w="60"/>
              <w:left w:type="dxa" w:w="100"/>
              <w:bottom w:type="dxa" w:w="60"/>
              <w:right w:type="dxa" w:w="100"/>
            </w:tcMar>
          </w:tcPr>
          <w:p>
            <w:pPr>
              <w:keepNext/>
              <w:jc w:val="right"/>
            </w:pPr>
            <w:r>
              <w:rPr>
                <w:sz w:val="19"/>
                <w:szCs w:val="19"/>
              </w:rPr>
              <w:t xml:space="preserve">2.46 to 4.31</w:t>
            </w:r>
          </w:p>
        </w:tc>
        <w:tc>
          <w:tcPr>
            <w:tcW w:type="dxa" w:w="1200"/>
            <w:tcMar>
              <w:top w:type="dxa" w:w="60"/>
              <w:left w:type="dxa" w:w="100"/>
              <w:bottom w:type="dxa" w:w="60"/>
              <w:right w:type="dxa" w:w="100"/>
            </w:tcMar>
          </w:tcPr>
          <w:p>
            <w:pPr>
              <w:keepNext/>
              <w:jc w:val="right"/>
            </w:pPr>
            <w:r>
              <w:rPr>
                <w:sz w:val="19"/>
                <w:szCs w:val="19"/>
              </w:rPr>
              <w:t xml:space="preserve">&lt;0.001</w:t>
            </w:r>
          </w:p>
        </w:tc>
      </w:tr>
      <w:tr>
        <w:trPr>
          <w:cantSplit/>
        </w:trPr>
        <w:tc>
          <w:tcPr>
            <w:tcW w:type="dxa" w:w="3826"/>
            <w:tcMar>
              <w:top w:type="dxa" w:w="60"/>
              <w:left w:type="dxa" w:w="100"/>
              <w:bottom w:type="dxa" w:w="60"/>
              <w:right w:type="dxa" w:w="100"/>
            </w:tcMar>
          </w:tcPr>
          <w:p>
            <w:pPr>
              <w:keepNext/>
              <w:jc w:val="left"/>
            </w:pPr>
            <w:r>
              <w:rPr>
                <w:sz w:val="19"/>
                <w:szCs w:val="19"/>
              </w:rPr>
              <w:t xml:space="preserve">Cigarettes per day (per 10)</w:t>
            </w:r>
          </w:p>
        </w:tc>
        <w:tc>
          <w:tcPr>
            <w:tcW w:type="dxa" w:w="1800"/>
            <w:tcMar>
              <w:top w:type="dxa" w:w="60"/>
              <w:left w:type="dxa" w:w="100"/>
              <w:bottom w:type="dxa" w:w="60"/>
              <w:right w:type="dxa" w:w="100"/>
            </w:tcMar>
          </w:tcPr>
          <w:p>
            <w:pPr>
              <w:keepNext/>
              <w:jc w:val="right"/>
            </w:pPr>
            <w:r>
              <w:rPr>
                <w:sz w:val="19"/>
                <w:szCs w:val="19"/>
              </w:rPr>
              <w:t xml:space="preserve">0.38</w:t>
            </w:r>
          </w:p>
        </w:tc>
        <w:tc>
          <w:tcPr>
            <w:tcW w:type="dxa" w:w="2200"/>
            <w:tcMar>
              <w:top w:type="dxa" w:w="60"/>
              <w:left w:type="dxa" w:w="100"/>
              <w:bottom w:type="dxa" w:w="60"/>
              <w:right w:type="dxa" w:w="100"/>
            </w:tcMar>
          </w:tcPr>
          <w:p>
            <w:pPr>
              <w:keepNext/>
              <w:jc w:val="right"/>
            </w:pPr>
            <w:r>
              <w:rPr>
                <w:sz w:val="19"/>
                <w:szCs w:val="19"/>
              </w:rPr>
              <w:t xml:space="preserve">−0.47 to 1.24</w:t>
            </w:r>
          </w:p>
        </w:tc>
        <w:tc>
          <w:tcPr>
            <w:tcW w:type="dxa" w:w="1200"/>
            <w:tcMar>
              <w:top w:type="dxa" w:w="60"/>
              <w:left w:type="dxa" w:w="100"/>
              <w:bottom w:type="dxa" w:w="60"/>
              <w:right w:type="dxa" w:w="100"/>
            </w:tcMar>
          </w:tcPr>
          <w:p>
            <w:pPr>
              <w:keepNext/>
              <w:jc w:val="right"/>
            </w:pPr>
            <w:r>
              <w:rPr>
                <w:sz w:val="19"/>
                <w:szCs w:val="19"/>
              </w:rPr>
              <w:t xml:space="preserve">0.380</w:t>
            </w:r>
          </w:p>
        </w:tc>
      </w:tr>
      <w:tr>
        <w:trPr>
          <w:cantSplit/>
        </w:trPr>
        <w:tc>
          <w:tcPr>
            <w:tcW w:type="dxa" w:w="3826"/>
            <w:tcMar>
              <w:top w:type="dxa" w:w="60"/>
              <w:left w:type="dxa" w:w="100"/>
              <w:bottom w:type="dxa" w:w="60"/>
              <w:right w:type="dxa" w:w="100"/>
            </w:tcMar>
          </w:tcPr>
          <w:p>
            <w:pPr>
              <w:keepNext/>
              <w:jc w:val="left"/>
            </w:pPr>
            <w:r>
              <w:rPr>
                <w:sz w:val="19"/>
                <w:szCs w:val="19"/>
              </w:rPr>
              <w:t xml:space="preserve">Age (per 10 years)</w:t>
            </w:r>
          </w:p>
        </w:tc>
        <w:tc>
          <w:tcPr>
            <w:tcW w:type="dxa" w:w="1800"/>
            <w:tcMar>
              <w:top w:type="dxa" w:w="60"/>
              <w:left w:type="dxa" w:w="100"/>
              <w:bottom w:type="dxa" w:w="60"/>
              <w:right w:type="dxa" w:w="100"/>
            </w:tcMar>
          </w:tcPr>
          <w:p>
            <w:pPr>
              <w:keepNext/>
              <w:jc w:val="right"/>
            </w:pPr>
            <w:r>
              <w:rPr>
                <w:sz w:val="19"/>
                <w:szCs w:val="19"/>
              </w:rPr>
              <w:t xml:space="preserve">0.06</w:t>
            </w:r>
          </w:p>
        </w:tc>
        <w:tc>
          <w:tcPr>
            <w:tcW w:type="dxa" w:w="2200"/>
            <w:tcMar>
              <w:top w:type="dxa" w:w="60"/>
              <w:left w:type="dxa" w:w="100"/>
              <w:bottom w:type="dxa" w:w="60"/>
              <w:right w:type="dxa" w:w="100"/>
            </w:tcMar>
          </w:tcPr>
          <w:p>
            <w:pPr>
              <w:keepNext/>
              <w:jc w:val="right"/>
            </w:pPr>
            <w:r>
              <w:rPr>
                <w:sz w:val="19"/>
                <w:szCs w:val="19"/>
              </w:rPr>
              <w:t xml:space="preserve">−0.69 to 0.82</w:t>
            </w:r>
          </w:p>
        </w:tc>
        <w:tc>
          <w:tcPr>
            <w:tcW w:type="dxa" w:w="1200"/>
            <w:tcMar>
              <w:top w:type="dxa" w:w="60"/>
              <w:left w:type="dxa" w:w="100"/>
              <w:bottom w:type="dxa" w:w="60"/>
              <w:right w:type="dxa" w:w="100"/>
            </w:tcMar>
          </w:tcPr>
          <w:p>
            <w:pPr>
              <w:keepNext/>
              <w:jc w:val="right"/>
            </w:pPr>
            <w:r>
              <w:rPr>
                <w:sz w:val="19"/>
                <w:szCs w:val="19"/>
              </w:rPr>
              <w:t xml:space="preserve">0.868</w:t>
            </w:r>
          </w:p>
        </w:tc>
      </w:tr>
      <w:tr>
        <w:trPr>
          <w:cantSplit/>
        </w:trPr>
        <w:tc>
          <w:tcPr>
            <w:tcW w:type="dxa" w:w="3826"/>
            <w:tcMar>
              <w:top w:type="dxa" w:w="60"/>
              <w:left w:type="dxa" w:w="100"/>
              <w:bottom w:type="dxa" w:w="60"/>
              <w:right w:type="dxa" w:w="100"/>
            </w:tcMar>
          </w:tcPr>
          <w:p>
            <w:pPr>
              <w:keepNext/>
              <w:jc w:val="left"/>
            </w:pPr>
            <w:r>
              <w:rPr>
                <w:sz w:val="19"/>
                <w:szCs w:val="19"/>
              </w:rPr>
              <w:t xml:space="preserve">Weight 1971 (per 10 kg)</w:t>
            </w:r>
          </w:p>
        </w:tc>
        <w:tc>
          <w:tcPr>
            <w:tcW w:type="dxa" w:w="1800"/>
            <w:tcMar>
              <w:top w:type="dxa" w:w="60"/>
              <w:left w:type="dxa" w:w="100"/>
              <w:bottom w:type="dxa" w:w="60"/>
              <w:right w:type="dxa" w:w="100"/>
            </w:tcMar>
          </w:tcPr>
          <w:p>
            <w:pPr>
              <w:keepNext/>
              <w:jc w:val="right"/>
            </w:pPr>
            <w:r>
              <w:rPr>
                <w:sz w:val="19"/>
                <w:szCs w:val="19"/>
              </w:rPr>
              <w:t xml:space="preserve">0.16</w:t>
            </w:r>
          </w:p>
        </w:tc>
        <w:tc>
          <w:tcPr>
            <w:tcW w:type="dxa" w:w="2200"/>
            <w:tcMar>
              <w:top w:type="dxa" w:w="60"/>
              <w:left w:type="dxa" w:w="100"/>
              <w:bottom w:type="dxa" w:w="60"/>
              <w:right w:type="dxa" w:w="100"/>
            </w:tcMar>
          </w:tcPr>
          <w:p>
            <w:pPr>
              <w:keepNext/>
              <w:jc w:val="right"/>
            </w:pPr>
            <w:r>
              <w:rPr>
                <w:sz w:val="19"/>
                <w:szCs w:val="19"/>
              </w:rPr>
              <w:t xml:space="preserve">−0.69 to 1.00</w:t>
            </w:r>
          </w:p>
        </w:tc>
        <w:tc>
          <w:tcPr>
            <w:tcW w:type="dxa" w:w="1200"/>
            <w:tcMar>
              <w:top w:type="dxa" w:w="60"/>
              <w:left w:type="dxa" w:w="100"/>
              <w:bottom w:type="dxa" w:w="60"/>
              <w:right w:type="dxa" w:w="100"/>
            </w:tcMar>
          </w:tcPr>
          <w:p>
            <w:pPr>
              <w:keepNext/>
              <w:jc w:val="right"/>
            </w:pPr>
            <w:r>
              <w:rPr>
                <w:sz w:val="19"/>
                <w:szCs w:val="19"/>
              </w:rPr>
              <w:t xml:space="preserve">0.715</w:t>
            </w:r>
          </w:p>
        </w:tc>
      </w:tr>
      <w:tr>
        <w:trPr>
          <w:cantSplit/>
        </w:trPr>
        <w:tc>
          <w:tcPr>
            <w:tcW w:type="dxa" w:w="3826"/>
            <w:tcMar>
              <w:top w:type="dxa" w:w="60"/>
              <w:left w:type="dxa" w:w="100"/>
              <w:bottom w:type="dxa" w:w="60"/>
              <w:right w:type="dxa" w:w="100"/>
            </w:tcMar>
          </w:tcPr>
          <w:p>
            <w:pPr>
              <w:keepNext w:val="false"/>
              <w:jc w:val="left"/>
            </w:pPr>
            <w:r>
              <w:rPr>
                <w:sz w:val="19"/>
                <w:szCs w:val="19"/>
              </w:rPr>
              <w:t xml:space="preserve">Female</w:t>
            </w:r>
          </w:p>
        </w:tc>
        <w:tc>
          <w:tcPr>
            <w:tcW w:type="dxa" w:w="1800"/>
            <w:tcMar>
              <w:top w:type="dxa" w:w="60"/>
              <w:left w:type="dxa" w:w="100"/>
              <w:bottom w:type="dxa" w:w="60"/>
              <w:right w:type="dxa" w:w="100"/>
            </w:tcMar>
          </w:tcPr>
          <w:p>
            <w:pPr>
              <w:keepNext w:val="false"/>
              <w:jc w:val="right"/>
            </w:pPr>
            <w:r>
              <w:rPr>
                <w:sz w:val="19"/>
                <w:szCs w:val="19"/>
              </w:rPr>
              <w:t xml:space="preserve">0.22</w:t>
            </w:r>
          </w:p>
        </w:tc>
        <w:tc>
          <w:tcPr>
            <w:tcW w:type="dxa" w:w="2200"/>
            <w:tcMar>
              <w:top w:type="dxa" w:w="60"/>
              <w:left w:type="dxa" w:w="100"/>
              <w:bottom w:type="dxa" w:w="60"/>
              <w:right w:type="dxa" w:w="100"/>
            </w:tcMar>
          </w:tcPr>
          <w:p>
            <w:pPr>
              <w:keepNext w:val="false"/>
              <w:jc w:val="right"/>
            </w:pPr>
            <w:r>
              <w:rPr>
                <w:sz w:val="19"/>
                <w:szCs w:val="19"/>
              </w:rPr>
              <w:t xml:space="preserve">−1.99 to 2.44</w:t>
            </w:r>
          </w:p>
        </w:tc>
        <w:tc>
          <w:tcPr>
            <w:tcW w:type="dxa" w:w="1200"/>
            <w:tcMar>
              <w:top w:type="dxa" w:w="60"/>
              <w:left w:type="dxa" w:w="100"/>
              <w:bottom w:type="dxa" w:w="60"/>
              <w:right w:type="dxa" w:w="100"/>
            </w:tcMar>
          </w:tcPr>
          <w:p>
            <w:pPr>
              <w:keepNext w:val="false"/>
              <w:jc w:val="right"/>
            </w:pPr>
            <w:r>
              <w:rPr>
                <w:sz w:val="19"/>
                <w:szCs w:val="19"/>
              </w:rPr>
              <w:t xml:space="preserve">0.844</w:t>
            </w:r>
          </w:p>
        </w:tc>
      </w:tr>
    </w:tbl>
    <w:p>
      <w:pPr>
        <w:spacing w:after="120"/>
      </w:pPr>
    </w:p>
    <w:p>
      <w:pPr>
        <w:pStyle w:val="Heading2"/>
      </w:pPr>
      <w:r>
        <w:t xml:space="preserve">10.2 Partial dependence</w:t>
      </w:r>
    </w:p>
    <w:p>
      <w:pPr>
        <w:spacing w:after="60" w:before="120"/>
        <w:jc w:val="center"/>
      </w:pPr>
      <w:r>
        <w:drawing>
          <wp:inline distT="0" distB="0" distL="0" distR="0">
            <wp:extent cx="5334000" cy="3209925"/>
            <wp:effectExtent t="0" r="0" b="0" l="0"/>
            <wp:docPr id="1" name="fig08b_pd_cigarettes.png" descr="Partial dependence of the effect on cigarettes per day (other covariates at their median) with 95% band; points are model-free doubly robust means per bi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09925"/>
                    </a:xfrm>
                    <a:prstGeom prst="rect">
                      <a:avLst/>
                    </a:prstGeom>
                  </pic:spPr>
                </pic:pic>
              </a:graphicData>
            </a:graphic>
          </wp:inline>
        </w:drawing>
      </w:r>
    </w:p>
    <w:p>
      <w:pPr>
        <w:spacing w:after="200"/>
      </w:pPr>
      <w:r>
        <w:rPr>
          <w:b/>
          <w:bCs/>
          <w:color w:val="7A7A7A"/>
          <w:sz w:val="18"/>
          <w:szCs w:val="18"/>
        </w:rPr>
        <w:t xml:space="preserve">Figure 7.</w:t>
      </w:r>
      <w:r>
        <w:rPr>
          <w:color w:val="7A7A7A"/>
          <w:sz w:val="18"/>
          <w:szCs w:val="18"/>
        </w:rPr>
        <w:t xml:space="preserve"> Partial dependence of the effect on cigarettes per day (other covariates at their median) with 95% band; points are model-free doubly robust means per bin.</w:t>
      </w:r>
    </w:p>
    <w:p>
      <w:pPr>
        <w:spacing w:after="120"/>
      </w:pPr>
      <w:r>
        <w:t xml:space="preserve">The forest's curve rises slightly from about 3.2 to 4.2 kg with smoking intensity, the same direction as the outcome model with a quit × intensity interaction in Hernán &amp; Robins (about 2.8 kg at 5 and 4.4 kg at 40 cigarettes per day), which is not statistically significant in our replication either. The model-free bins (1.83, 4.00, 3.93 and 3.69 kg for up to 10, 11 to 20, 21 to 30 and more than 30 cigarettes) have wide, overlapping intervals. Age shows no systematic pattern either (Figure A7).</w:t>
      </w:r>
    </w:p>
    <w:p>
      <w:pPr>
        <w:pStyle w:val="Heading2"/>
      </w:pPr>
      <w:r>
        <w:t xml:space="preserve">10.3 Illustrative profiles</w:t>
      </w:r>
    </w:p>
    <w:p>
      <w:pPr>
        <w:spacing w:after="120"/>
      </w:pPr>
      <w:r>
        <w:t xml:space="preserve">The estimated effect for people like a light smoker (woman, 30, 5 cigarettes per day) is 2.56 kg (1.12 to 3.99), for a median smoker 4.12 kg (1.27 to 6.98), and for a heavy smoker (man, 50, 40 cigarettes per day) 2.62 kg (1.20 to 4.04). The intervals overlap; the profiles cannot be told apart (Figure A8).</w:t>
      </w:r>
    </w:p>
    <w:p>
      <w:pPr>
        <w:pStyle w:val="Heading2"/>
      </w:pPr>
      <w:r>
        <w:t xml:space="preserve">10.4 Implications for the audience</w:t>
      </w:r>
    </w:p>
    <w:p>
      <w:pPr>
        <w:pStyle w:val="ListParagraph"/>
        <w:numPr>
          <w:ilvl w:val="0"/>
          <w:numId w:val="3"/>
        </w:numPr>
        <w:spacing w:after="80"/>
      </w:pPr>
      <w:r>
        <w:rPr>
          <w:b/>
          <w:bCs/>
        </w:rPr>
        <w:t xml:space="preserve">Standard offer:</w:t>
      </w:r>
      <w:r>
        <w:t xml:space="preserve"> plan weight support as a component for all quitters. The expected additional gain is about 3.4 kg over 11 years, roughly 0.3 kg per year.</w:t>
      </w:r>
    </w:p>
    <w:p>
      <w:pPr>
        <w:pStyle w:val="ListParagraph"/>
        <w:numPr>
          <w:ilvl w:val="0"/>
          <w:numId w:val="3"/>
        </w:numPr>
        <w:spacing w:after="80"/>
      </w:pPr>
      <w:r>
        <w:rPr>
          <w:b/>
          <w:bCs/>
        </w:rPr>
        <w:t xml:space="preserve">No targeting model:</w:t>
      </w:r>
      <w:r>
        <w:t xml:space="preserve"> smoking intensity, age, sex and baseline weight provide no reliable basis for targeting.</w:t>
      </w:r>
    </w:p>
    <w:p>
      <w:pPr>
        <w:pStyle w:val="ListParagraph"/>
        <w:numPr>
          <w:ilvl w:val="0"/>
          <w:numId w:val="3"/>
        </w:numPr>
        <w:spacing w:after="80"/>
      </w:pPr>
      <w:r>
        <w:rPr>
          <w:b/>
          <w:bCs/>
        </w:rPr>
        <w:t xml:space="preserve">Communication:</w:t>
      </w:r>
      <w:r>
        <w:t xml:space="preserve"> present the number in context. A modest weight gain is small compared with the health benefits of quitting, which helps to reduce the fear that keeps smokers from quitting.</w:t>
      </w:r>
    </w:p>
    <w:p>
      <w:pPr>
        <w:pStyle w:val="ListParagraph"/>
        <w:numPr>
          <w:ilvl w:val="0"/>
          <w:numId w:val="3"/>
        </w:numPr>
        <w:spacing w:after="80"/>
      </w:pPr>
      <w:r>
        <w:rPr>
          <w:b/>
          <w:bCs/>
        </w:rPr>
        <w:t xml:space="preserve">Next step:</w:t>
      </w:r>
      <w:r>
        <w:t xml:space="preserve"> validate with current Swiss data, for example from programme monitoring, because transporting a US cohort from 1971 to 1982 to today is an assumption.</w:t>
      </w:r>
    </w:p>
    <w:p>
      <w:pPr>
        <w:pStyle w:val="Heading1"/>
      </w:pPr>
      <w:r>
        <w:t xml:space="preserve">11. Limitations</w:t>
      </w:r>
    </w:p>
    <w:p>
      <w:pPr>
        <w:pStyle w:val="ListParagraph"/>
        <w:numPr>
          <w:ilvl w:val="0"/>
          <w:numId w:val="4"/>
        </w:numPr>
        <w:spacing w:after="80"/>
      </w:pPr>
      <w:r>
        <w:rPr>
          <w:b/>
          <w:bCs/>
        </w:rPr>
        <w:t xml:space="preserve">Unconfoundedness is untestable.</w:t>
      </w:r>
      <w:r>
        <w:t xml:space="preserve"> It is supported by the DAG and bounded by the sensitivity analysis (robustness value 18%, about 9 times the strength of age), but not proven.</w:t>
      </w:r>
    </w:p>
    <w:p>
      <w:pPr>
        <w:pStyle w:val="ListParagraph"/>
        <w:numPr>
          <w:ilvl w:val="0"/>
          <w:numId w:val="4"/>
        </w:numPr>
        <w:spacing w:after="80"/>
      </w:pPr>
      <w:r>
        <w:rPr>
          <w:b/>
          <w:bCs/>
        </w:rPr>
        <w:t xml:space="preserve">Compound treatment.</w:t>
      </w:r>
      <w:r>
        <w:t xml:space="preserve"> Timing, method and relapses of quitting are unknown, so consistency holds only approximately.</w:t>
      </w:r>
    </w:p>
    <w:p>
      <w:pPr>
        <w:pStyle w:val="ListParagraph"/>
        <w:numPr>
          <w:ilvl w:val="0"/>
          <w:numId w:val="4"/>
        </w:numPr>
        <w:spacing w:after="80"/>
      </w:pPr>
      <w:r>
        <w:rPr>
          <w:b/>
          <w:bCs/>
        </w:rPr>
        <w:t xml:space="preserve">Missing outcomes.</w:t>
      </w:r>
      <w:r>
        <w:t xml:space="preserve"> Censoring was informative, but inverse probability weighting for censoring barely changes the result.</w:t>
      </w:r>
    </w:p>
    <w:p>
      <w:pPr>
        <w:pStyle w:val="ListParagraph"/>
        <w:numPr>
          <w:ilvl w:val="0"/>
          <w:numId w:val="4"/>
        </w:numPr>
        <w:spacing w:after="80"/>
      </w:pPr>
      <w:r>
        <w:rPr>
          <w:b/>
          <w:bCs/>
        </w:rPr>
        <w:t xml:space="preserve">Self-reported smoking.</w:t>
      </w:r>
      <w:r>
        <w:t xml:space="preserve"> Treatment and smoking-related confounders are self-reported and subject to measurement error.</w:t>
      </w:r>
    </w:p>
    <w:p>
      <w:pPr>
        <w:pStyle w:val="ListParagraph"/>
        <w:numPr>
          <w:ilvl w:val="0"/>
          <w:numId w:val="4"/>
        </w:numPr>
        <w:spacing w:after="80"/>
      </w:pPr>
      <w:r>
        <w:rPr>
          <w:b/>
          <w:bCs/>
        </w:rPr>
        <w:t xml:space="preserve">Transportability.</w:t>
      </w:r>
      <w:r>
        <w:t xml:space="preserve"> The data describe US smokers from 1971 to 1982; products, diets and populations differ today.</w:t>
      </w:r>
    </w:p>
    <w:p>
      <w:pPr>
        <w:pStyle w:val="ListParagraph"/>
        <w:numPr>
          <w:ilvl w:val="0"/>
          <w:numId w:val="4"/>
        </w:numPr>
        <w:spacing w:after="80"/>
      </w:pPr>
      <w:r>
        <w:rPr>
          <w:b/>
          <w:bCs/>
        </w:rPr>
        <w:t xml:space="preserve">Limited power for heterogeneity.</w:t>
      </w:r>
      <w:r>
        <w:t xml:space="preserve"> With 1,566 people and a noisy outcome, a null CATE result means "not detectable", not "identical for everyone" (quantified in Section 9.3).</w:t>
      </w:r>
    </w:p>
    <w:p>
      <w:pPr>
        <w:pStyle w:val="ListParagraph"/>
        <w:numPr>
          <w:ilvl w:val="0"/>
          <w:numId w:val="4"/>
        </w:numPr>
        <w:spacing w:after="80"/>
      </w:pPr>
      <w:r>
        <w:rPr>
          <w:b/>
          <w:bCs/>
        </w:rPr>
        <w:t xml:space="preserve">Total effect.</w:t>
      </w:r>
      <w:r>
        <w:t xml:space="preserve"> The estimate includes mediated pathways such as appetite and metabolism and says nothing about the mechanism.</w:t>
      </w:r>
    </w:p>
    <w:p>
      <w:pPr>
        <w:pStyle w:val="ListParagraph"/>
        <w:numPr>
          <w:ilvl w:val="0"/>
          <w:numId w:val="4"/>
        </w:numPr>
        <w:spacing w:after="80"/>
      </w:pPr>
      <w:r>
        <w:rPr>
          <w:b/>
          <w:bCs/>
        </w:rPr>
        <w:t xml:space="preserve">ASMD definition.</w:t>
      </w:r>
      <w:r>
        <w:t xml:space="preserve"> The lecture formula differs by a factor √2 from common software; the 0.1 threshold must be read accordingly.</w:t>
      </w:r>
    </w:p>
    <w:p>
      <w:pPr>
        <w:pStyle w:val="Heading1"/>
      </w:pPr>
      <w:r>
        <w:t xml:space="preserve">12. Reproducibility</w:t>
      </w:r>
    </w:p>
    <w:p>
      <w:pPr>
        <w:pStyle w:val="ListParagraph"/>
        <w:numPr>
          <w:ilvl w:val="0"/>
          <w:numId w:val="3"/>
        </w:numPr>
        <w:spacing w:after="80"/>
      </w:pPr>
      <w:r>
        <w:rPr>
          <w:b/>
          <w:bCs/>
        </w:rPr>
        <w:t xml:space="preserve">Code:</w:t>
      </w:r>
      <w:r>
        <w:t xml:space="preserve"> nhefs_causal_ml_pipeline.ipynb; run with Restart Kernel and Run All (a few minutes).</w:t>
      </w:r>
    </w:p>
    <w:p>
      <w:pPr>
        <w:pStyle w:val="ListParagraph"/>
        <w:numPr>
          <w:ilvl w:val="0"/>
          <w:numId w:val="3"/>
        </w:numPr>
        <w:spacing w:after="80"/>
      </w:pPr>
      <w:r>
        <w:rPr>
          <w:b/>
          <w:bCs/>
        </w:rPr>
        <w:t xml:space="preserve">Randomness:</w:t>
      </w:r>
      <w:r>
        <w:t xml:space="preserve"> one seed (42) for all forests, splits, permutations and bootstraps.</w:t>
      </w:r>
    </w:p>
    <w:p>
      <w:pPr>
        <w:pStyle w:val="ListParagraph"/>
        <w:numPr>
          <w:ilvl w:val="0"/>
          <w:numId w:val="3"/>
        </w:numPr>
        <w:spacing w:after="80"/>
      </w:pPr>
      <w:r>
        <w:rPr>
          <w:b/>
          <w:bCs/>
        </w:rPr>
        <w:t xml:space="preserve">Software:</w:t>
      </w:r>
      <w:r>
        <w:t xml:space="preserve"> causallib (data), econml.grf (regression and causal forests), statsmodels, scikit-learn, networkx, matplotlib; tested with econml 0.17 and scikit-learn 1.9. Forest-based values may differ slightly with other versions; parametric values are deterministic.</w:t>
      </w:r>
    </w:p>
    <w:p>
      <w:pPr>
        <w:pStyle w:val="ListParagraph"/>
        <w:numPr>
          <w:ilvl w:val="0"/>
          <w:numId w:val="3"/>
        </w:numPr>
        <w:spacing w:after="80"/>
      </w:pPr>
      <w:r>
        <w:rPr>
          <w:b/>
          <w:bCs/>
        </w:rPr>
        <w:t xml:space="preserve">Outputs:</w:t>
      </w:r>
      <w:r>
        <w:t xml:space="preserve"> figures in figures/, key numbers in results/ (JSON and CSV), including an automatically generated executive summary.</w:t>
      </w:r>
    </w:p>
    <w:p>
      <w:r>
        <w:br w:type="page"/>
      </w:r>
    </w:p>
    <w:p>
      <w:pPr>
        <w:pStyle w:val="Heading1"/>
      </w:pPr>
      <w:r>
        <w:t xml:space="preserve">Appendix A. Additional figures</w:t>
      </w:r>
    </w:p>
    <w:p>
      <w:pPr>
        <w:spacing w:after="60" w:before="120"/>
        <w:jc w:val="center"/>
      </w:pPr>
      <w:r>
        <w:drawing>
          <wp:inline distT="0" distB="0" distL="0" distR="0">
            <wp:extent cx="5143500" cy="2743200"/>
            <wp:effectExtent t="0" r="0" b="0" l="0"/>
            <wp:docPr id="1" name="fig01_outcome_by_group.png" descr="Distribution of weight change by group (unadjust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743200"/>
                    </a:xfrm>
                    <a:prstGeom prst="rect">
                      <a:avLst/>
                    </a:prstGeom>
                  </pic:spPr>
                </pic:pic>
              </a:graphicData>
            </a:graphic>
          </wp:inline>
        </w:drawing>
      </w:r>
    </w:p>
    <w:p>
      <w:pPr>
        <w:spacing w:after="200"/>
      </w:pPr>
      <w:r>
        <w:rPr>
          <w:b/>
          <w:bCs/>
          <w:color w:val="7A7A7A"/>
          <w:sz w:val="18"/>
          <w:szCs w:val="18"/>
        </w:rPr>
        <w:t xml:space="preserve">Figure A1.</w:t>
      </w:r>
      <w:r>
        <w:rPr>
          <w:color w:val="7A7A7A"/>
          <w:sz w:val="18"/>
          <w:szCs w:val="18"/>
        </w:rPr>
        <w:t xml:space="preserve"> Distribution of weight change by group (unadjusted).</w:t>
      </w:r>
    </w:p>
    <w:p>
      <w:pPr>
        <w:spacing w:after="60" w:before="120"/>
        <w:jc w:val="center"/>
      </w:pPr>
      <w:r>
        <w:drawing>
          <wp:inline distT="0" distB="0" distL="0" distR="0">
            <wp:extent cx="5143500" cy="2867025"/>
            <wp:effectExtent t="0" r="0" b="0" l="0"/>
            <wp:docPr id="1" name="fig05a_variable_importance.png" descr="Split-based variable importance of the causal forest (splits, not effec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67025"/>
                    </a:xfrm>
                    <a:prstGeom prst="rect">
                      <a:avLst/>
                    </a:prstGeom>
                  </pic:spPr>
                </pic:pic>
              </a:graphicData>
            </a:graphic>
          </wp:inline>
        </w:drawing>
      </w:r>
    </w:p>
    <w:p>
      <w:pPr>
        <w:spacing w:after="200"/>
      </w:pPr>
      <w:r>
        <w:rPr>
          <w:b/>
          <w:bCs/>
          <w:color w:val="7A7A7A"/>
          <w:sz w:val="18"/>
          <w:szCs w:val="18"/>
        </w:rPr>
        <w:t xml:space="preserve">Figure A2.</w:t>
      </w:r>
      <w:r>
        <w:rPr>
          <w:color w:val="7A7A7A"/>
          <w:sz w:val="18"/>
          <w:szCs w:val="18"/>
        </w:rPr>
        <w:t xml:space="preserve"> Split-based variable importance of the causal forest (splits, not effects).</w:t>
      </w:r>
    </w:p>
    <w:p>
      <w:pPr>
        <w:spacing w:after="60" w:before="120"/>
        <w:jc w:val="center"/>
      </w:pPr>
      <w:r>
        <w:drawing>
          <wp:inline distT="0" distB="0" distL="0" distR="0">
            <wp:extent cx="5143500" cy="2000250"/>
            <wp:effectExtent t="0" r="0" b="0" l="0"/>
            <wp:docPr id="1" name="fig06a_calibration.png" descr="Calibration test coefficients with 95% CI."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000250"/>
                    </a:xfrm>
                    <a:prstGeom prst="rect">
                      <a:avLst/>
                    </a:prstGeom>
                  </pic:spPr>
                </pic:pic>
              </a:graphicData>
            </a:graphic>
          </wp:inline>
        </w:drawing>
      </w:r>
    </w:p>
    <w:p>
      <w:pPr>
        <w:spacing w:after="200"/>
      </w:pPr>
      <w:r>
        <w:rPr>
          <w:b/>
          <w:bCs/>
          <w:color w:val="7A7A7A"/>
          <w:sz w:val="18"/>
          <w:szCs w:val="18"/>
        </w:rPr>
        <w:t xml:space="preserve">Figure A3.</w:t>
      </w:r>
      <w:r>
        <w:rPr>
          <w:color w:val="7A7A7A"/>
          <w:sz w:val="18"/>
          <w:szCs w:val="18"/>
        </w:rPr>
        <w:t xml:space="preserve"> Calibration test coefficients with 95% CI.</w:t>
      </w:r>
    </w:p>
    <w:p>
      <w:pPr>
        <w:spacing w:after="60" w:before="120"/>
        <w:jc w:val="center"/>
      </w:pPr>
      <w:r>
        <w:drawing>
          <wp:inline distT="0" distB="0" distL="0" distR="0">
            <wp:extent cx="5143500" cy="3000375"/>
            <wp:effectExtent t="0" r="0" b="0" l="0"/>
            <wp:docPr id="1" name="fig06c_rate_toc.png" descr="Targeting operator characteristic on the held-out half for both prioritization rul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00375"/>
                    </a:xfrm>
                    <a:prstGeom prst="rect">
                      <a:avLst/>
                    </a:prstGeom>
                  </pic:spPr>
                </pic:pic>
              </a:graphicData>
            </a:graphic>
          </wp:inline>
        </w:drawing>
      </w:r>
    </w:p>
    <w:p>
      <w:pPr>
        <w:spacing w:after="200"/>
      </w:pPr>
      <w:r>
        <w:rPr>
          <w:b/>
          <w:bCs/>
          <w:color w:val="7A7A7A"/>
          <w:sz w:val="18"/>
          <w:szCs w:val="18"/>
        </w:rPr>
        <w:t xml:space="preserve">Figure A4.</w:t>
      </w:r>
      <w:r>
        <w:rPr>
          <w:color w:val="7A7A7A"/>
          <w:sz w:val="18"/>
          <w:szCs w:val="18"/>
        </w:rPr>
        <w:t xml:space="preserve"> Targeting operator characteristic on the held-out half for both prioritization rules.</w:t>
      </w:r>
    </w:p>
    <w:p>
      <w:pPr>
        <w:spacing w:after="60" w:before="120"/>
        <w:jc w:val="center"/>
      </w:pPr>
      <w:r>
        <w:drawing>
          <wp:inline distT="0" distB="0" distL="0" distR="0">
            <wp:extent cx="5143500" cy="2295525"/>
            <wp:effectExtent t="0" r="0" b="0" l="0"/>
            <wp:docPr id="1" name="fig07a_placebo.png" descr="Placebo effects from 20 refits with permuted treatment, compared with the real effec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295525"/>
                    </a:xfrm>
                    <a:prstGeom prst="rect">
                      <a:avLst/>
                    </a:prstGeom>
                  </pic:spPr>
                </pic:pic>
              </a:graphicData>
            </a:graphic>
          </wp:inline>
        </w:drawing>
      </w:r>
    </w:p>
    <w:p>
      <w:pPr>
        <w:spacing w:after="200"/>
      </w:pPr>
      <w:r>
        <w:rPr>
          <w:b/>
          <w:bCs/>
          <w:color w:val="7A7A7A"/>
          <w:sz w:val="18"/>
          <w:szCs w:val="18"/>
        </w:rPr>
        <w:t xml:space="preserve">Figure A5.</w:t>
      </w:r>
      <w:r>
        <w:rPr>
          <w:color w:val="7A7A7A"/>
          <w:sz w:val="18"/>
          <w:szCs w:val="18"/>
        </w:rPr>
        <w:t xml:space="preserve"> Placebo effects from 20 refits with permuted treatment, compared with the real effect.</w:t>
      </w:r>
    </w:p>
    <w:p>
      <w:pPr>
        <w:spacing w:after="60" w:before="120"/>
        <w:jc w:val="center"/>
      </w:pPr>
      <w:r>
        <w:drawing>
          <wp:inline distT="0" distB="0" distL="0" distR="0">
            <wp:extent cx="5143500" cy="1952625"/>
            <wp:effectExtent t="0" r="0" b="0" l="0"/>
            <wp:docPr id="1" name="fig07b_semisynthetic.png" descr="Semi-synthetic validation: naive and pipeline estimates against the known trut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1952625"/>
                    </a:xfrm>
                    <a:prstGeom prst="rect">
                      <a:avLst/>
                    </a:prstGeom>
                  </pic:spPr>
                </pic:pic>
              </a:graphicData>
            </a:graphic>
          </wp:inline>
        </w:drawing>
      </w:r>
    </w:p>
    <w:p>
      <w:pPr>
        <w:spacing w:after="200"/>
      </w:pPr>
      <w:r>
        <w:rPr>
          <w:b/>
          <w:bCs/>
          <w:color w:val="7A7A7A"/>
          <w:sz w:val="18"/>
          <w:szCs w:val="18"/>
        </w:rPr>
        <w:t xml:space="preserve">Figure A6.</w:t>
      </w:r>
      <w:r>
        <w:rPr>
          <w:color w:val="7A7A7A"/>
          <w:sz w:val="18"/>
          <w:szCs w:val="18"/>
        </w:rPr>
        <w:t xml:space="preserve"> Semi-synthetic validation: naive and pipeline estimates against the known truth.</w:t>
      </w:r>
    </w:p>
    <w:p>
      <w:pPr>
        <w:spacing w:after="60" w:before="120"/>
        <w:jc w:val="center"/>
      </w:pPr>
      <w:r>
        <w:drawing>
          <wp:inline distT="0" distB="0" distL="0" distR="0">
            <wp:extent cx="5143500" cy="3095625"/>
            <wp:effectExtent t="0" r="0" b="0" l="0"/>
            <wp:docPr id="1" name="fig08c_pd_age.png" descr="Partial dependence of the effect on 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095625"/>
                    </a:xfrm>
                    <a:prstGeom prst="rect">
                      <a:avLst/>
                    </a:prstGeom>
                  </pic:spPr>
                </pic:pic>
              </a:graphicData>
            </a:graphic>
          </wp:inline>
        </w:drawing>
      </w:r>
    </w:p>
    <w:p>
      <w:pPr>
        <w:spacing w:after="200"/>
      </w:pPr>
      <w:r>
        <w:rPr>
          <w:b/>
          <w:bCs/>
          <w:color w:val="7A7A7A"/>
          <w:sz w:val="18"/>
          <w:szCs w:val="18"/>
        </w:rPr>
        <w:t xml:space="preserve">Figure A7.</w:t>
      </w:r>
      <w:r>
        <w:rPr>
          <w:color w:val="7A7A7A"/>
          <w:sz w:val="18"/>
          <w:szCs w:val="18"/>
        </w:rPr>
        <w:t xml:space="preserve"> Partial dependence of the effect on age.</w:t>
      </w:r>
    </w:p>
    <w:p>
      <w:pPr>
        <w:spacing w:after="60" w:before="120"/>
        <w:jc w:val="center"/>
      </w:pPr>
      <w:r>
        <w:drawing>
          <wp:inline distT="0" distB="0" distL="0" distR="0">
            <wp:extent cx="5143500" cy="2247900"/>
            <wp:effectExtent t="0" r="0" b="0" l="0"/>
            <wp:docPr id="1" name="fig08d_profiles.png" descr="Conditional average treatment effects for three illustrative profil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247900"/>
                    </a:xfrm>
                    <a:prstGeom prst="rect">
                      <a:avLst/>
                    </a:prstGeom>
                  </pic:spPr>
                </pic:pic>
              </a:graphicData>
            </a:graphic>
          </wp:inline>
        </w:drawing>
      </w:r>
    </w:p>
    <w:p>
      <w:pPr>
        <w:spacing w:after="200"/>
      </w:pPr>
      <w:r>
        <w:rPr>
          <w:b/>
          <w:bCs/>
          <w:color w:val="7A7A7A"/>
          <w:sz w:val="18"/>
          <w:szCs w:val="18"/>
        </w:rPr>
        <w:t xml:space="preserve">Figure A8.</w:t>
      </w:r>
      <w:r>
        <w:rPr>
          <w:color w:val="7A7A7A"/>
          <w:sz w:val="18"/>
          <w:szCs w:val="18"/>
        </w:rPr>
        <w:t xml:space="preserve"> Conditional average treatment effects for three illustrative profiles.</w:t>
      </w:r>
    </w:p>
    <w:p>
      <w:pPr>
        <w:spacing w:after="60" w:before="120"/>
        <w:jc w:val="center"/>
      </w:pPr>
      <w:r>
        <w:drawing>
          <wp:inline distT="0" distB="0" distL="0" distR="0">
            <wp:extent cx="5143500" cy="2295525"/>
            <wp:effectExtent t="0" r="0" b="0" l="0"/>
            <wp:docPr id="1" name="fig08a_blp.png" descr="Best linear projection of the doubly robust scor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295525"/>
                    </a:xfrm>
                    <a:prstGeom prst="rect">
                      <a:avLst/>
                    </a:prstGeom>
                  </pic:spPr>
                </pic:pic>
              </a:graphicData>
            </a:graphic>
          </wp:inline>
        </w:drawing>
      </w:r>
    </w:p>
    <w:p>
      <w:pPr>
        <w:spacing w:after="200"/>
      </w:pPr>
      <w:r>
        <w:rPr>
          <w:b/>
          <w:bCs/>
          <w:color w:val="7A7A7A"/>
          <w:sz w:val="18"/>
          <w:szCs w:val="18"/>
        </w:rPr>
        <w:t xml:space="preserve">Figure A9.</w:t>
      </w:r>
      <w:r>
        <w:rPr>
          <w:color w:val="7A7A7A"/>
          <w:sz w:val="18"/>
          <w:szCs w:val="18"/>
        </w:rPr>
        <w:t xml:space="preserve"> Best linear projection of the doubly robust scores.</w:t>
      </w:r>
    </w:p>
    <w:p>
      <w:pPr>
        <w:pStyle w:val="Heading1"/>
      </w:pPr>
      <w:r>
        <w:t xml:space="preserve">References</w:t>
      </w:r>
    </w:p>
    <w:p>
      <w:pPr>
        <w:spacing w:after="100"/>
        <w:ind w:left="360" w:hanging="360"/>
      </w:pPr>
      <w:r>
        <w:rPr>
          <w:sz w:val="20"/>
          <w:szCs w:val="20"/>
        </w:rPr>
        <w:t xml:space="preserve">Athey, S., Tibshirani, J., &amp; Wager, S. (2019). Generalized random forests. </w:t>
      </w:r>
      <w:r>
        <w:rPr>
          <w:i/>
          <w:iCs/>
          <w:sz w:val="20"/>
          <w:szCs w:val="20"/>
        </w:rPr>
        <w:t xml:space="preserve">Annals of Statistics</w:t>
      </w:r>
      <w:r>
        <w:rPr>
          <w:sz w:val="20"/>
          <w:szCs w:val="20"/>
        </w:rPr>
        <w:t xml:space="preserve">, 47(2), 1148-1178.</w:t>
      </w:r>
    </w:p>
    <w:p>
      <w:pPr>
        <w:spacing w:after="100"/>
        <w:ind w:left="360" w:hanging="360"/>
      </w:pPr>
      <w:r>
        <w:rPr>
          <w:sz w:val="20"/>
          <w:szCs w:val="20"/>
        </w:rPr>
        <w:t xml:space="preserve">Athey, S., &amp; Wager, S. (2019). Estimating treatment effects with causal forests: An application. </w:t>
      </w:r>
      <w:r>
        <w:rPr>
          <w:i/>
          <w:iCs/>
          <w:sz w:val="20"/>
          <w:szCs w:val="20"/>
        </w:rPr>
        <w:t xml:space="preserve">Observational Studies</w:t>
      </w:r>
      <w:r>
        <w:rPr>
          <w:sz w:val="20"/>
          <w:szCs w:val="20"/>
        </w:rPr>
        <w:t xml:space="preserve">, 5, 37-51.</w:t>
      </w:r>
    </w:p>
    <w:p>
      <w:pPr>
        <w:spacing w:after="100"/>
        <w:ind w:left="360" w:hanging="360"/>
      </w:pPr>
      <w:r>
        <w:rPr>
          <w:sz w:val="20"/>
          <w:szCs w:val="20"/>
        </w:rPr>
        <w:t xml:space="preserve">Chernozhukov, V., Chetverikov, D., Demirer, M., Duflo, E., Hansen, C., Newey, W., &amp; Robins, J. (2018). Double/debiased machine learning for treatment and structural parameters. </w:t>
      </w:r>
      <w:r>
        <w:rPr>
          <w:i/>
          <w:iCs/>
          <w:sz w:val="20"/>
          <w:szCs w:val="20"/>
        </w:rPr>
        <w:t xml:space="preserve">The Econometrics Journal</w:t>
      </w:r>
      <w:r>
        <w:rPr>
          <w:sz w:val="20"/>
          <w:szCs w:val="20"/>
        </w:rPr>
        <w:t xml:space="preserve">, 21(1), C1-C68.</w:t>
      </w:r>
    </w:p>
    <w:p>
      <w:pPr>
        <w:spacing w:after="100"/>
        <w:ind w:left="360" w:hanging="360"/>
      </w:pPr>
      <w:r>
        <w:rPr>
          <w:sz w:val="20"/>
          <w:szCs w:val="20"/>
        </w:rPr>
        <w:t xml:space="preserve">Cinelli, C., &amp; Hazlett, C. (2020). Making sense of sensitivity: Extending omitted variable bias. </w:t>
      </w:r>
      <w:r>
        <w:rPr>
          <w:i/>
          <w:iCs/>
          <w:sz w:val="20"/>
          <w:szCs w:val="20"/>
        </w:rPr>
        <w:t xml:space="preserve">Journal of the Royal Statistical Society Series B</w:t>
      </w:r>
      <w:r>
        <w:rPr>
          <w:sz w:val="20"/>
          <w:szCs w:val="20"/>
        </w:rPr>
        <w:t xml:space="preserve">, 82(1), 39-67.</w:t>
      </w:r>
    </w:p>
    <w:p>
      <w:pPr>
        <w:spacing w:after="100"/>
        <w:ind w:left="360" w:hanging="360"/>
      </w:pPr>
      <w:r>
        <w:rPr>
          <w:sz w:val="20"/>
          <w:szCs w:val="20"/>
        </w:rPr>
        <w:t xml:space="preserve">Hernán, M. A., &amp; Robins, J. M. (2020). </w:t>
      </w:r>
      <w:r>
        <w:rPr>
          <w:i/>
          <w:iCs/>
          <w:sz w:val="20"/>
          <w:szCs w:val="20"/>
        </w:rPr>
        <w:t xml:space="preserve">Causal Inference: What If</w:t>
      </w:r>
      <w:r>
        <w:rPr>
          <w:sz w:val="20"/>
          <w:szCs w:val="20"/>
        </w:rPr>
        <w:t xml:space="preserve">. Boca Raton: Chapman &amp; Hall/CRC.</w:t>
      </w:r>
    </w:p>
    <w:p>
      <w:pPr>
        <w:spacing w:after="100"/>
        <w:ind w:left="360" w:hanging="360"/>
      </w:pPr>
      <w:r>
        <w:rPr>
          <w:sz w:val="20"/>
          <w:szCs w:val="20"/>
        </w:rPr>
        <w:t xml:space="preserve">Knaflic, C. N. (2015). </w:t>
      </w:r>
      <w:r>
        <w:rPr>
          <w:i/>
          <w:iCs/>
          <w:sz w:val="20"/>
          <w:szCs w:val="20"/>
        </w:rPr>
        <w:t xml:space="preserve">Storytelling with Data</w:t>
      </w:r>
      <w:r>
        <w:rPr>
          <w:sz w:val="20"/>
          <w:szCs w:val="20"/>
        </w:rPr>
        <w:t xml:space="preserve">. Hoboken: Wiley.</w:t>
      </w:r>
    </w:p>
    <w:p>
      <w:pPr>
        <w:spacing w:after="100"/>
        <w:ind w:left="360" w:hanging="360"/>
      </w:pPr>
      <w:r>
        <w:rPr>
          <w:sz w:val="20"/>
          <w:szCs w:val="20"/>
        </w:rPr>
        <w:t xml:space="preserve">Minto, B. (2009). </w:t>
      </w:r>
      <w:r>
        <w:rPr>
          <w:i/>
          <w:iCs/>
          <w:sz w:val="20"/>
          <w:szCs w:val="20"/>
        </w:rPr>
        <w:t xml:space="preserve">The Pyramid Principle: Logic in Writing and Thinking</w:t>
      </w:r>
      <w:r>
        <w:rPr>
          <w:sz w:val="20"/>
          <w:szCs w:val="20"/>
        </w:rPr>
        <w:t xml:space="preserve"> (3rd ed.). Harlow: Pearson.</w:t>
      </w:r>
    </w:p>
    <w:p>
      <w:pPr>
        <w:spacing w:after="100"/>
        <w:ind w:left="360" w:hanging="360"/>
      </w:pPr>
      <w:r>
        <w:rPr>
          <w:sz w:val="20"/>
          <w:szCs w:val="20"/>
        </w:rPr>
        <w:t xml:space="preserve">Nie, X., &amp; Wager, S. (2021). Quasi-oracle estimation of heterogeneous treatment effects. </w:t>
      </w:r>
      <w:r>
        <w:rPr>
          <w:i/>
          <w:iCs/>
          <w:sz w:val="20"/>
          <w:szCs w:val="20"/>
        </w:rPr>
        <w:t xml:space="preserve">Biometrika</w:t>
      </w:r>
      <w:r>
        <w:rPr>
          <w:sz w:val="20"/>
          <w:szCs w:val="20"/>
        </w:rPr>
        <w:t xml:space="preserve">, 108(2), 299-319.</w:t>
      </w:r>
    </w:p>
    <w:p>
      <w:pPr>
        <w:spacing w:after="100"/>
        <w:ind w:left="360" w:hanging="360"/>
      </w:pPr>
      <w:r>
        <w:rPr>
          <w:sz w:val="20"/>
          <w:szCs w:val="20"/>
        </w:rPr>
        <w:t xml:space="preserve">Rosenbaum, P. R., &amp; Rubin, D. B. (1983). The central role of the propensity score in observational studies for causal effects. </w:t>
      </w:r>
      <w:r>
        <w:rPr>
          <w:i/>
          <w:iCs/>
          <w:sz w:val="20"/>
          <w:szCs w:val="20"/>
        </w:rPr>
        <w:t xml:space="preserve">Biometrika</w:t>
      </w:r>
      <w:r>
        <w:rPr>
          <w:sz w:val="20"/>
          <w:szCs w:val="20"/>
        </w:rPr>
        <w:t xml:space="preserve">, 70(1), 41-55.</w:t>
      </w:r>
    </w:p>
    <w:p>
      <w:pPr>
        <w:spacing w:after="100"/>
        <w:ind w:left="360" w:hanging="360"/>
      </w:pPr>
      <w:r>
        <w:rPr>
          <w:sz w:val="20"/>
          <w:szCs w:val="20"/>
        </w:rPr>
        <w:t xml:space="preserve">Yadlowsky, S., Fleming, S., Shah, N., Brunskill, E., &amp; Wager, S. (2021). Evaluating treatment prioritization rules via rank-weighted average treatment effects. arXiv:2111.07966.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A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7A7A"/>
        <w:sz w:val="16"/>
        <w:szCs w:val="16"/>
      </w:rPr>
      <w:t xml:space="preserve">Quitting smoking and weight gain: background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0F6E56"/>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692f135c2499ce21b1a8573a12fa20a8570603.png"/><Relationship Id="rId10" Type="http://schemas.openxmlformats.org/officeDocument/2006/relationships/image" Target="media/6c71475e257f565556d4979b050fa726a90adde7.png"/><Relationship Id="rId11" Type="http://schemas.openxmlformats.org/officeDocument/2006/relationships/image" Target="media/3b04c2e6ab2979440ef381e8eaa286958c2828f2.png"/><Relationship Id="rId12" Type="http://schemas.openxmlformats.org/officeDocument/2006/relationships/image" Target="media/38a65e7b7c1441c1f40d68d1c4f9fa37701e4d04.png"/><Relationship Id="rId13" Type="http://schemas.openxmlformats.org/officeDocument/2006/relationships/image" Target="media/b213543ac3711f9295e37538c54894161db38f73.png"/><Relationship Id="rId14" Type="http://schemas.openxmlformats.org/officeDocument/2006/relationships/image" Target="media/077357a566225e6dcaf4186b4e6209b20dfc3255.png"/><Relationship Id="rId15" Type="http://schemas.openxmlformats.org/officeDocument/2006/relationships/image" Target="media/8a7a7aa87b27cfed8651383a9cd1610cdd5ebcb3.png"/><Relationship Id="rId16" Type="http://schemas.openxmlformats.org/officeDocument/2006/relationships/image" Target="media/7233b70e79ec07a9db21169113e2078bd817b35d.png"/><Relationship Id="rId17" Type="http://schemas.openxmlformats.org/officeDocument/2006/relationships/image" Target="media/5e88c68f87e2cabc631954f3fca281ab0948576d.png"/><Relationship Id="rId18" Type="http://schemas.openxmlformats.org/officeDocument/2006/relationships/image" Target="media/ac191bb5c630e5fb7c0c9f9be48448d8d93ec058.png"/><Relationship Id="rId19" Type="http://schemas.openxmlformats.org/officeDocument/2006/relationships/image" Target="media/04e48cdf7d3e5266052f6c1d8df2c124314b2df4.png"/><Relationship Id="rId20" Type="http://schemas.openxmlformats.org/officeDocument/2006/relationships/image" Target="media/715957477e156c49e862b63e4642d2521cd84e73.png"/><Relationship Id="rId21" Type="http://schemas.openxmlformats.org/officeDocument/2006/relationships/image" Target="media/4eb182c7c9f566503a036ea5a5e93d4ab909d7d3.png"/><Relationship Id="rId22" Type="http://schemas.openxmlformats.org/officeDocument/2006/relationships/image" Target="media/9a9ca12a0880e8e8c2f2e49f7bceed2209651a5c.png"/><Relationship Id="rId23" Type="http://schemas.openxmlformats.org/officeDocument/2006/relationships/image" Target="media/4d02c4325a7dbb4e335d599f32a79a4cce287827.png"/><Relationship Id="rId24" Type="http://schemas.openxmlformats.org/officeDocument/2006/relationships/image" Target="media/5c170f3345a058e91d702689f3bdce73b4c7ebc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Quitting Smoking Cause Weight Gain, and for Whom?</dc:title>
  <dc:creator>Jananthan Uthayakumar</dc:creator>
  <cp:lastModifiedBy>Un-named</cp:lastModifiedBy>
  <cp:revision>1</cp:revision>
  <dcterms:created xsi:type="dcterms:W3CDTF">2026-09-26T07:26:10.967Z</dcterms:created>
  <dcterms:modified xsi:type="dcterms:W3CDTF">2026-09-26T07:26:10.967Z</dcterms:modified>
</cp:coreProperties>
</file>

<file path=docProps/custom.xml><?xml version="1.0" encoding="utf-8"?>
<Properties xmlns="http://schemas.openxmlformats.org/officeDocument/2006/custom-properties" xmlns:vt="http://schemas.openxmlformats.org/officeDocument/2006/docPropsVTypes"/>
</file>