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None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14 mangsir,2080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None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2075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14 mangsir,2080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user  user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