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center"/>
      </w:pPr>
      <w:r>
        <w:rPr>
          <w:rFonts w:ascii="Times New Roman" w:hAnsi="Times New Roman"/>
          <w:b/>
          <w:color w:val="0F172A"/>
          <w:sz w:val="36"/>
        </w:rPr>
        <w:t>Retrieval-augmented Question Answering via Parameter-efficient Fine-tuning (LoRA/QLoRA), Applied to Customer Support Chatbot Automation</w:t>
      </w:r>
    </w:p>
    <w:p>
      <w:pPr>
        <w:spacing w:after="40"/>
        <w:jc w:val="center"/>
      </w:pPr>
      <w:r>
        <w:rPr>
          <w:rFonts w:ascii="Times New Roman" w:hAnsi="Times New Roman"/>
          <w:b/>
          <w:sz w:val="24"/>
        </w:rPr>
        <w:t>Janardhan Thrishank Singumahanthi</w:t>
      </w:r>
    </w:p>
    <w:p>
      <w:pPr>
        <w:spacing w:after="40"/>
        <w:jc w:val="center"/>
      </w:pPr>
      <w:r>
        <w:rPr>
          <w:rFonts w:ascii="Times New Roman" w:hAnsi="Times New Roman"/>
          <w:sz w:val="22"/>
        </w:rPr>
        <w:t>Department of Computer Science and Engineering (AI &amp; ML)</w:t>
      </w:r>
    </w:p>
    <w:p>
      <w:pPr>
        <w:spacing w:after="40"/>
        <w:jc w:val="center"/>
      </w:pPr>
      <w:r>
        <w:rPr>
          <w:rFonts w:ascii="Times New Roman" w:hAnsi="Times New Roman"/>
          <w:sz w:val="22"/>
        </w:rPr>
        <w:t>Ramachandra College of Engineering, Eluru, Andhra Pradesh, India</w:t>
      </w:r>
    </w:p>
    <w:p>
      <w:pPr>
        <w:spacing w:after="280"/>
        <w:jc w:val="center"/>
      </w:pPr>
      <w:r>
        <w:rPr>
          <w:rFonts w:ascii="Times New Roman" w:hAnsi="Times New Roman"/>
          <w:sz w:val="22"/>
        </w:rPr>
        <w:t>Email: janardhanthrisank123@gmail.com</w:t>
      </w:r>
    </w:p>
    <w:p>
      <w:pPr>
        <w:keepNext/>
        <w:spacing w:before="280" w:after="120"/>
        <w:jc w:val="left"/>
      </w:pPr>
      <w:r>
        <w:rPr>
          <w:rFonts w:ascii="Times New Roman" w:hAnsi="Times New Roman"/>
          <w:b/>
          <w:color w:val="0F172A"/>
          <w:sz w:val="28"/>
        </w:rPr>
        <w:t>Abstract</w:t>
      </w:r>
    </w:p>
    <w:p>
      <w:pPr>
        <w:spacing w:after="120"/>
        <w:ind w:left="576" w:right="576"/>
      </w:pPr>
      <w:r>
        <w:rPr>
          <w:rFonts w:ascii="Times New Roman" w:hAnsi="Times New Roman"/>
          <w:b w:val="0"/>
          <w:i w:val="0"/>
          <w:color w:val="0F172A"/>
          <w:sz w:val="22"/>
        </w:rPr>
        <w:t xml:space="preserve">Automating enterprise customer support through conversational artificial intelligence requires strict factual grounding, verifiable citation attribution, and robust refusal mechanisms for unsupported queries, all while operating within strict computational and memory budgets. Unaugmented large language models (LLMs) often suffer from generative hallucinations, lack provenance tracing, and require substantial GPU memory that is prohibitive for local edge deployment. In this paper, we present </w:t>
      </w:r>
      <w:r>
        <w:rPr>
          <w:rFonts w:ascii="Times New Roman" w:hAnsi="Times New Roman"/>
          <w:b/>
          <w:i w:val="0"/>
          <w:color w:val="0F172A"/>
          <w:sz w:val="22"/>
        </w:rPr>
        <w:t>SupportIQ</w:t>
      </w:r>
      <w:r>
        <w:rPr>
          <w:rFonts w:ascii="Times New Roman" w:hAnsi="Times New Roman"/>
          <w:b w:val="0"/>
          <w:i w:val="0"/>
          <w:color w:val="0F172A"/>
          <w:sz w:val="22"/>
        </w:rPr>
        <w:t>, an end-to-end question-answering framework tailored for customer support that synergizes two-stage hybrid retrieval, parameter-efficient fine-tuning (PEFT), and deterministic claim-level grounding verification.</w:t>
      </w:r>
    </w:p>
    <w:p>
      <w:pPr>
        <w:spacing w:after="120"/>
        <w:ind w:left="576" w:right="576"/>
      </w:pPr>
      <w:r>
        <w:rPr>
          <w:rFonts w:ascii="Times New Roman" w:hAnsi="Times New Roman"/>
          <w:b w:val="0"/>
          <w:i w:val="0"/>
          <w:color w:val="0F172A"/>
          <w:sz w:val="22"/>
        </w:rPr>
        <w:t xml:space="preserve">SupportIQ integrates sparse BM25 lexical token matching with a 32-dimensional deterministic hash-vector representation, fused via non-linear Reciprocal Rank Fusion (RRF with smoothing constant </w:t>
      </w:r>
      <w:r>
        <w:rPr>
          <w:rFonts w:ascii="Times New Roman" w:hAnsi="Times New Roman"/>
          <w:i/>
          <w:color w:val="0F172A"/>
          <w:sz w:val="22"/>
        </w:rPr>
        <w:t>k=60</w:t>
      </w:r>
      <w:r>
        <w:rPr>
          <w:rFonts w:ascii="Times New Roman" w:hAnsi="Times New Roman"/>
          <w:b w:val="0"/>
          <w:i w:val="0"/>
          <w:color w:val="0F172A"/>
          <w:sz w:val="22"/>
        </w:rPr>
        <w:t xml:space="preserve">, lexical weight </w:t>
      </w:r>
      <w:r>
        <w:rPr>
          <w:rFonts w:ascii="Times New Roman" w:hAnsi="Times New Roman"/>
          <w:i/>
          <w:color w:val="0F172A"/>
          <w:sz w:val="22"/>
        </w:rPr>
        <w:t>0.60</w:t>
      </w:r>
      <w:r>
        <w:rPr>
          <w:rFonts w:ascii="Times New Roman" w:hAnsi="Times New Roman"/>
          <w:b w:val="0"/>
          <w:i w:val="0"/>
          <w:color w:val="0F172A"/>
          <w:sz w:val="22"/>
        </w:rPr>
        <w:t xml:space="preserve">, and vector weight </w:t>
      </w:r>
      <w:r>
        <w:rPr>
          <w:rFonts w:ascii="Times New Roman" w:hAnsi="Times New Roman"/>
          <w:i/>
          <w:color w:val="0F172A"/>
          <w:sz w:val="22"/>
        </w:rPr>
        <w:t>0.40</w:t>
      </w:r>
      <w:r>
        <w:rPr>
          <w:rFonts w:ascii="Times New Roman" w:hAnsi="Times New Roman"/>
          <w:b w:val="0"/>
          <w:i w:val="0"/>
          <w:color w:val="0F172A"/>
          <w:sz w:val="22"/>
        </w:rPr>
        <w:t xml:space="preserve">). Evidence candidates passing an algorithmic evidence gate are synthesized by </w:t>
      </w:r>
      <w:r>
        <w:rPr>
          <w:rFonts w:ascii="Consolas" w:hAnsi="Consolas"/>
          <w:color w:val="1E293B"/>
          <w:sz w:val="20"/>
        </w:rPr>
        <w:t>Qwen/Qwen2.5-0.5B-Instruct</w:t>
      </w:r>
      <w:r>
        <w:rPr>
          <w:rFonts w:ascii="Times New Roman" w:hAnsi="Times New Roman"/>
          <w:b w:val="0"/>
          <w:i w:val="0"/>
          <w:color w:val="0F172A"/>
          <w:sz w:val="22"/>
        </w:rPr>
        <w:t xml:space="preserve"> adapted via 16-bit Low-Rank Adaptation (LoRA) or 4-bit NormalFloat Quantized LoRA (QLoRA) with double quantization, updating only 540,672 parameters (0.1093% of the foundation model). Generated responses undergo sentence-level claim decomposition and lexical alignment verification against source documents to compute a continuous reliability score, enforce traceable citations (document ID, title, page, and chunk), and trigger safe refusals when source evidence is lacking.</w:t>
      </w:r>
    </w:p>
    <w:p>
      <w:pPr>
        <w:spacing w:after="120"/>
        <w:ind w:left="576" w:right="576"/>
      </w:pPr>
      <w:r>
        <w:rPr>
          <w:rFonts w:ascii="Times New Roman" w:hAnsi="Times New Roman"/>
          <w:b w:val="0"/>
          <w:i w:val="0"/>
          <w:color w:val="0F172A"/>
          <w:sz w:val="22"/>
        </w:rPr>
        <w:t>Evaluated on a strictly frozen, unobserved holdout benchmark (</w:t>
      </w:r>
      <w:r>
        <w:rPr>
          <w:rFonts w:ascii="Times New Roman" w:hAnsi="Times New Roman"/>
          <w:i/>
          <w:color w:val="0F172A"/>
          <w:sz w:val="22"/>
        </w:rPr>
        <w:t>N=10</w:t>
      </w:r>
      <w:r>
        <w:rPr>
          <w:rFonts w:ascii="Times New Roman" w:hAnsi="Times New Roman"/>
          <w:b w:val="0"/>
          <w:i w:val="0"/>
          <w:color w:val="0F172A"/>
          <w:sz w:val="22"/>
        </w:rPr>
        <w:t>, comprising 7 answerable policy queries and 3 out-of-domain adversarial queries), both SupportIQ LoRA and QLoRA achieve 100.0% composite accuracy, 100.0% claim faithfulness, 1.0000 Mean Reciprocal Rank (MRR), 100.0% citation correctness, and 0.0% hallucination rate on unsupported queries within the evaluated dataset. Live GPU telemetry on an NVIDIA GeForce RTX 2050 Laptop GPU (4.0 GB VRAM) reveals distinct operational trade-offs: FP16 LoRA demonstrates the lowest generation latency (0.844 s), while 4-bit QLoRA reduces peak inference VRAM by 52.1% to 0.46 GB (compared to 0.96 GB for LoRA and zero-shot base models). These empirical findings indicate that domain-adapted, verifiable conversational agents can operate effectively on resource-constrained commodity hardware under the evaluated experimental conditions.</w:t>
      </w:r>
    </w:p>
    <w:p>
      <w:pPr>
        <w:spacing w:after="280"/>
        <w:ind w:left="576" w:right="576"/>
      </w:pPr>
      <w:r>
        <w:rPr>
          <w:rFonts w:ascii="Times New Roman" w:hAnsi="Times New Roman"/>
          <w:b/>
          <w:i w:val="0"/>
          <w:color w:val="0F172A"/>
          <w:sz w:val="22"/>
        </w:rPr>
        <w:t>Keywords:</w:t>
      </w:r>
      <w:r>
        <w:rPr>
          <w:rFonts w:ascii="Times New Roman" w:hAnsi="Times New Roman"/>
          <w:b w:val="0"/>
          <w:i w:val="0"/>
          <w:color w:val="0F172A"/>
          <w:sz w:val="22"/>
        </w:rPr>
        <w:t xml:space="preserve"> Retrieval-Augmented Generation, Customer Support QA, Parameter-Efficient Fine-Tuning, LoRA, QLoRA, Reciprocal Rank Fusion, Grounding Verification, Hallucination Suppression, Edge AI.</w:t>
      </w:r>
    </w:p>
    <w:p>
      <w:pPr>
        <w:keepNext/>
        <w:spacing w:before="280" w:after="120"/>
        <w:jc w:val="left"/>
      </w:pPr>
      <w:r>
        <w:rPr>
          <w:rFonts w:ascii="Times New Roman" w:hAnsi="Times New Roman"/>
          <w:b/>
          <w:color w:val="0F172A"/>
          <w:sz w:val="28"/>
        </w:rPr>
        <w:t>1. Introduction</w:t>
      </w:r>
    </w:p>
    <w:p>
      <w:pPr>
        <w:spacing w:after="120"/>
      </w:pPr>
      <w:r>
        <w:rPr>
          <w:rFonts w:ascii="Times New Roman" w:hAnsi="Times New Roman"/>
          <w:b w:val="0"/>
          <w:i w:val="0"/>
          <w:color w:val="0F172A"/>
          <w:sz w:val="23"/>
        </w:rPr>
        <w:t>Customer support automation represents one of the most commercially vital yet technically challenging applications of conversational artificial intelligence [1], [12]. Frontline customer service operations process millions of inquiries daily concerning return policies, warranty terms, billing schedules, and service level agreements (SLAs). In conventional customer service workflows, human agents must manually search voluminous, evolving policy documentation across disparate knowledge repositories, introducing significant latency and cognitive fatigue [12].</w:t>
      </w:r>
    </w:p>
    <w:p>
      <w:pPr>
        <w:spacing w:after="120"/>
      </w:pPr>
      <w:r>
        <w:rPr>
          <w:rFonts w:ascii="Times New Roman" w:hAnsi="Times New Roman"/>
          <w:b w:val="0"/>
          <w:i w:val="0"/>
          <w:color w:val="0F172A"/>
          <w:sz w:val="23"/>
        </w:rPr>
        <w:t>While Large Language Models (LLMs) demonstrate impressive generative fluency, deploying off-the-shelf, unaugmented models directly in customer-facing roles poses severe operational and legal risks [10]. Parametric language models encode static world knowledge and lack direct access to proprietary enterprise documentation. Consequently, when prompted with specialized operational policies or out-of-domain adversarial queries, unaugmented LLMs exhibit generative hallucinations—fluently generating plausible yet fabricated terms, refund windows, or non-existent warranties [10], [13]. In enterprise customer support, hallucinations directly result in customer dissatisfaction, financial liabilities, and regulatory exposure.</w:t>
      </w:r>
    </w:p>
    <w:p>
      <w:pPr>
        <w:spacing w:after="120"/>
      </w:pPr>
      <w:r>
        <w:rPr>
          <w:rFonts w:ascii="Times New Roman" w:hAnsi="Times New Roman"/>
          <w:b w:val="0"/>
          <w:i w:val="0"/>
          <w:color w:val="0F172A"/>
          <w:sz w:val="23"/>
        </w:rPr>
        <w:t>Retrieval-Augmented Generation (RAG) has emerged as an established paradigm to mitigate hallucinations by conditioning language model generation on retrieved external documents [1], [9]. However, conventional RAG systems exhibit three notable deficiencies when deployed in enterprise support environments:</w:t>
      </w:r>
    </w:p>
    <w:p>
      <w:pPr>
        <w:spacing w:after="80"/>
        <w:ind w:left="432"/>
      </w:pPr>
      <w:r>
        <w:rPr>
          <w:rFonts w:ascii="Times New Roman" w:hAnsi="Times New Roman"/>
          <w:b/>
          <w:sz w:val="22"/>
        </w:rPr>
        <w:t xml:space="preserve">1.  </w:t>
      </w:r>
      <w:r>
        <w:rPr>
          <w:rFonts w:ascii="Times New Roman" w:hAnsi="Times New Roman"/>
          <w:b/>
          <w:i w:val="0"/>
          <w:color w:val="0F172A"/>
          <w:sz w:val="22"/>
        </w:rPr>
        <w:t>Retrieval Vulnerability in Technical Documentation:</w:t>
      </w:r>
      <w:r>
        <w:rPr>
          <w:rFonts w:ascii="Times New Roman" w:hAnsi="Times New Roman"/>
          <w:b w:val="0"/>
          <w:i w:val="0"/>
          <w:color w:val="0F172A"/>
          <w:sz w:val="22"/>
        </w:rPr>
        <w:t xml:space="preserve"> Pure lexical keyword retrieval (e.g., BM25) fails when queries contain keyword traps that superficially match unrelated policy sections, whereas pure dense vector retrieval frequently exhibits semantic drift across dense technical documentation [4], [5], [11].</w:t>
      </w:r>
    </w:p>
    <w:p>
      <w:pPr>
        <w:spacing w:after="80"/>
        <w:ind w:left="432"/>
      </w:pPr>
      <w:r>
        <w:rPr>
          <w:rFonts w:ascii="Times New Roman" w:hAnsi="Times New Roman"/>
          <w:b/>
          <w:sz w:val="22"/>
        </w:rPr>
        <w:t xml:space="preserve">2.  </w:t>
      </w:r>
      <w:r>
        <w:rPr>
          <w:rFonts w:ascii="Times New Roman" w:hAnsi="Times New Roman"/>
          <w:b/>
          <w:i w:val="0"/>
          <w:color w:val="0F172A"/>
          <w:sz w:val="22"/>
        </w:rPr>
        <w:t>Prohibitive Computational Footprint:</w:t>
      </w:r>
      <w:r>
        <w:rPr>
          <w:rFonts w:ascii="Times New Roman" w:hAnsi="Times New Roman"/>
          <w:b w:val="0"/>
          <w:i w:val="0"/>
          <w:color w:val="0F172A"/>
          <w:sz w:val="22"/>
        </w:rPr>
        <w:t xml:space="preserve"> Standard instruction-tuned models (e.g., 7B–70B parameters) require high-end enterprise GPUs with 16 GB to 80 GB of VRAM, rendering local edge or workstation deployment cost-prohibitive for small and medium enterprises [2], [3].</w:t>
      </w:r>
    </w:p>
    <w:p>
      <w:pPr>
        <w:spacing w:after="80"/>
        <w:ind w:left="432"/>
      </w:pPr>
      <w:r>
        <w:rPr>
          <w:rFonts w:ascii="Times New Roman" w:hAnsi="Times New Roman"/>
          <w:b/>
          <w:sz w:val="22"/>
        </w:rPr>
        <w:t xml:space="preserve">3.  </w:t>
      </w:r>
      <w:r>
        <w:rPr>
          <w:rFonts w:ascii="Times New Roman" w:hAnsi="Times New Roman"/>
          <w:b/>
          <w:i w:val="0"/>
          <w:color w:val="0F172A"/>
          <w:sz w:val="22"/>
        </w:rPr>
        <w:t>Absence of Deterministic Verification and Evidence Attribution:</w:t>
      </w:r>
      <w:r>
        <w:rPr>
          <w:rFonts w:ascii="Times New Roman" w:hAnsi="Times New Roman"/>
          <w:b w:val="0"/>
          <w:i w:val="0"/>
          <w:color w:val="0F172A"/>
          <w:sz w:val="22"/>
        </w:rPr>
        <w:t xml:space="preserve"> Standard RAG pipelines treat generation as an unconstrained text completion task. If retrieved evidence is marginal or irrelevant, models often extrapolate beyond the context without attributing claims to specific source pages or paragraphs [8], [14].</w:t>
      </w:r>
    </w:p>
    <w:p>
      <w:pPr>
        <w:spacing w:after="120"/>
      </w:pPr>
      <w:r>
        <w:rPr>
          <w:rFonts w:ascii="Times New Roman" w:hAnsi="Times New Roman"/>
          <w:b w:val="0"/>
          <w:i w:val="0"/>
          <w:color w:val="0F172A"/>
          <w:sz w:val="23"/>
        </w:rPr>
        <w:t xml:space="preserve">To resolve these challenges, this study presents </w:t>
      </w:r>
      <w:r>
        <w:rPr>
          <w:rFonts w:ascii="Times New Roman" w:hAnsi="Times New Roman"/>
          <w:b/>
          <w:i w:val="0"/>
          <w:color w:val="0F172A"/>
          <w:sz w:val="23"/>
        </w:rPr>
        <w:t>SupportIQ</w:t>
      </w:r>
      <w:r>
        <w:rPr>
          <w:rFonts w:ascii="Times New Roman" w:hAnsi="Times New Roman"/>
          <w:b w:val="0"/>
          <w:i w:val="0"/>
          <w:color w:val="0F172A"/>
          <w:sz w:val="23"/>
        </w:rPr>
        <w:t>, a lightweight, verified framework that unifies:</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A two-stage hybrid retrieval mechanism combining BM25 lexical token scoring with a 32-dimensional deterministic hash-vector representation fused via Reciprocal Rank Fusion (RRF) [4];</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 xml:space="preserve">Parameter-Efficient Fine-Tuning (PEFT) using unquantized FP16 LoRA [2] and 4-bit NormalFloat (NF4) QLoRA [3] applied to the compact </w:t>
      </w:r>
      <w:r>
        <w:rPr>
          <w:rFonts w:ascii="Consolas" w:hAnsi="Consolas"/>
          <w:color w:val="1E293B"/>
          <w:sz w:val="20"/>
        </w:rPr>
        <w:t>Qwen/Qwen2.5-0.5B-Instruct</w:t>
      </w:r>
      <w:r>
        <w:rPr>
          <w:rFonts w:ascii="Times New Roman" w:hAnsi="Times New Roman"/>
          <w:b w:val="0"/>
          <w:i w:val="0"/>
          <w:color w:val="0F172A"/>
          <w:sz w:val="22"/>
        </w:rPr>
        <w:t xml:space="preserve"> model [6];</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A deterministic post-generation claim verification engine that segments generated text into verifiable propositions, computes a continuous reliability score, emits page-level citations, and enforces automated safe refusal on unsupported queries [7], [8].</w:t>
      </w:r>
    </w:p>
    <w:p>
      <w:pPr>
        <w:spacing w:after="120"/>
      </w:pPr>
      <w:r>
        <w:rPr>
          <w:rFonts w:ascii="Times New Roman" w:hAnsi="Times New Roman"/>
          <w:b w:val="0"/>
          <w:i w:val="0"/>
          <w:color w:val="0F172A"/>
          <w:sz w:val="23"/>
        </w:rPr>
        <w:t>The primary objective of this work is to empirically measure the accuracy, factual faithfulness, generation latency, and peak GPU VRAM allocation of this unified architecture on a local resource-constrained workstation equipped with an NVIDIA GeForce RTX 2050 Laptop GPU (4.0 GB VRAM).</w:t>
      </w:r>
    </w:p>
    <w:p>
      <w:pPr>
        <w:keepNext/>
        <w:spacing w:before="280" w:after="120"/>
        <w:jc w:val="left"/>
      </w:pPr>
      <w:r>
        <w:rPr>
          <w:rFonts w:ascii="Times New Roman" w:hAnsi="Times New Roman"/>
          <w:b/>
          <w:color w:val="0F172A"/>
          <w:sz w:val="28"/>
        </w:rPr>
        <w:t>2. Literature Review</w:t>
      </w:r>
    </w:p>
    <w:p>
      <w:pPr>
        <w:spacing w:after="120"/>
      </w:pPr>
      <w:r>
        <w:rPr>
          <w:rFonts w:ascii="Times New Roman" w:hAnsi="Times New Roman"/>
          <w:b w:val="0"/>
          <w:i w:val="0"/>
          <w:color w:val="0F172A"/>
          <w:sz w:val="23"/>
        </w:rPr>
        <w:t>The architecture of SupportIQ builds upon foundational advances across three interconnected domains: Retrieval-Augmented Generation, Parameter-Efficient Fine-Tuning, and Factual Grounding Verification.</w:t>
      </w:r>
    </w:p>
    <w:p>
      <w:pPr>
        <w:keepNext/>
        <w:spacing w:before="200" w:after="80"/>
        <w:jc w:val="left"/>
      </w:pPr>
      <w:r>
        <w:rPr>
          <w:rFonts w:ascii="Times New Roman" w:hAnsi="Times New Roman"/>
          <w:b/>
          <w:color w:val="1E293B"/>
          <w:sz w:val="25"/>
        </w:rPr>
        <w:t>2.1 Retrieval-Augmented Generation (RAG) and Hybrid Retrieval</w:t>
      </w:r>
    </w:p>
    <w:p>
      <w:pPr>
        <w:spacing w:after="120"/>
      </w:pPr>
      <w:r>
        <w:rPr>
          <w:rFonts w:ascii="Times New Roman" w:hAnsi="Times New Roman"/>
          <w:b w:val="0"/>
          <w:i w:val="0"/>
          <w:color w:val="0F172A"/>
          <w:sz w:val="23"/>
        </w:rPr>
        <w:t>Lewis et al. [1] formalized Retrieval-Augmented Generation, demonstrating that conditioning generative autoregressive models on passages retrieved from a non-parametric knowledge corpus dramatically enhances factual correctness in open-domain question answering. In enterprise customer support, early retrieval systems relied primarily on sparse lexical matching such as the BM25 probabilistic relevance framework developed by Robertson and Zaragoza [5]. BM25 performs well for exact entity queries (such as product identifiers and error codes) but lacks tolerance for lexical mismatch.</w:t>
      </w:r>
    </w:p>
    <w:p>
      <w:pPr>
        <w:spacing w:after="120"/>
      </w:pPr>
      <w:r>
        <w:rPr>
          <w:rFonts w:ascii="Times New Roman" w:hAnsi="Times New Roman"/>
          <w:b w:val="0"/>
          <w:i w:val="0"/>
          <w:color w:val="0F172A"/>
          <w:sz w:val="23"/>
        </w:rPr>
        <w:t>To overcome lexical brittleness, Karpukhin et al. [11] introduced Dense Passage Retrieval (DPR), utilizing dual neural bi-encoders to map queries and passages into a shared continuous semantic space. While effective, dense retrieval models are prone to false-positive drift when querying short policy documents with overlapping vocabulary [9]. To capture the complementary strengths of lexical and vector representations, Cormack, Clarke, and Büttcher [4] proposed Reciprocal Rank Fusion (RRF). RRF combines disparate rank orderings without requiring score normalization calibration, consistently outperforming individual retrieval methods and linear score combination.</w:t>
      </w:r>
    </w:p>
    <w:p>
      <w:pPr>
        <w:keepNext/>
        <w:spacing w:before="200" w:after="80"/>
        <w:jc w:val="left"/>
      </w:pPr>
      <w:r>
        <w:rPr>
          <w:rFonts w:ascii="Times New Roman" w:hAnsi="Times New Roman"/>
          <w:b/>
          <w:color w:val="1E293B"/>
          <w:sz w:val="25"/>
        </w:rPr>
        <w:t>2.2 Parameter-Efficient Fine-Tuning: LoRA and QLoRA</w:t>
      </w:r>
    </w:p>
    <w:p>
      <w:pPr>
        <w:spacing w:after="120"/>
      </w:pPr>
      <w:r>
        <w:rPr>
          <w:rFonts w:ascii="Times New Roman" w:hAnsi="Times New Roman"/>
          <w:b w:val="0"/>
          <w:i w:val="0"/>
          <w:color w:val="0F172A"/>
          <w:sz w:val="23"/>
        </w:rPr>
        <w:t>Adapting foundation models to narrow vertical domains historically required full parameter fine-tuning, which is computationally expensive and risks catastrophic forgetting. To address this, Hu et al. [2] introduced Low-Rank Adaptation (LoRA), which freezes the pre-trained model weights and injects trainable low-rank decomposition matrices into the transformer multi-head attention projections (</w:t>
      </w:r>
      <w:r>
        <w:rPr>
          <w:rFonts w:ascii="Consolas" w:hAnsi="Consolas"/>
          <w:color w:val="1E293B"/>
          <w:sz w:val="21"/>
        </w:rPr>
        <w:t>q_proj</w:t>
      </w:r>
      <w:r>
        <w:rPr>
          <w:rFonts w:ascii="Times New Roman" w:hAnsi="Times New Roman"/>
          <w:b w:val="0"/>
          <w:i w:val="0"/>
          <w:color w:val="0F172A"/>
          <w:sz w:val="23"/>
        </w:rPr>
        <w:t xml:space="preserve">, </w:t>
      </w:r>
      <w:r>
        <w:rPr>
          <w:rFonts w:ascii="Consolas" w:hAnsi="Consolas"/>
          <w:color w:val="1E293B"/>
          <w:sz w:val="21"/>
        </w:rPr>
        <w:t>v_proj</w:t>
      </w:r>
      <w:r>
        <w:rPr>
          <w:rFonts w:ascii="Times New Roman" w:hAnsi="Times New Roman"/>
          <w:b w:val="0"/>
          <w:i w:val="0"/>
          <w:color w:val="0F172A"/>
          <w:sz w:val="23"/>
        </w:rPr>
        <w:t>). LoRA reduces trainable parameter counts by orders of magnitude while matching full fine-tuning performance.</w:t>
      </w:r>
    </w:p>
    <w:p>
      <w:pPr>
        <w:spacing w:after="120"/>
      </w:pPr>
      <w:r>
        <w:rPr>
          <w:rFonts w:ascii="Times New Roman" w:hAnsi="Times New Roman"/>
          <w:b w:val="0"/>
          <w:i w:val="0"/>
          <w:color w:val="0F172A"/>
          <w:sz w:val="23"/>
        </w:rPr>
        <w:t>Dettmers et al. [3] extended this paradigm with QLoRA (Quantized Low-Rank Adaptation). QLoRA quantizes the frozen base model weights into a specialized 4-bit NormalFloat (NF4) data type, introduces Double Quantization to compress quantization constants, and utilizes paged optimizers to eliminate gradient memory spikes. These innovations enable fine-tuning and inference on commodity consumer GPUs without compromising downstream fidelity [3]. Recent compact foundation models, such as the Qwen2.5 series developed by Yang et al. [6], provide highly optimized instruction-following capabilities at the 0.5-billion parameter scale, presenting an ideal base for edge PEFT deployment.</w:t>
      </w:r>
    </w:p>
    <w:p>
      <w:pPr>
        <w:keepNext/>
        <w:spacing w:before="200" w:after="80"/>
        <w:jc w:val="left"/>
      </w:pPr>
      <w:r>
        <w:rPr>
          <w:rFonts w:ascii="Times New Roman" w:hAnsi="Times New Roman"/>
          <w:b/>
          <w:color w:val="1E293B"/>
          <w:sz w:val="25"/>
        </w:rPr>
        <w:t>2.3 Hallucination Suppression, Grounding, and Attribution</w:t>
      </w:r>
    </w:p>
    <w:p>
      <w:pPr>
        <w:spacing w:after="120"/>
      </w:pPr>
      <w:r>
        <w:rPr>
          <w:rFonts w:ascii="Times New Roman" w:hAnsi="Times New Roman"/>
          <w:b w:val="0"/>
          <w:i w:val="0"/>
          <w:color w:val="0F172A"/>
          <w:sz w:val="23"/>
        </w:rPr>
        <w:t>Generative hallucination in conversational systems has been extensively analyzed by Shuster et al. [10], who demonstrated that retrieval augmentation significantly reduces, but does not entirely eliminate, factual errors. Thorne et al. [7] pioneered automated claim extraction and evidence verification (FEVER), establishing that breaking complex narratives into atomic claims improves verification accuracy.</w:t>
      </w:r>
    </w:p>
    <w:p>
      <w:pPr>
        <w:spacing w:after="120"/>
      </w:pPr>
      <w:r>
        <w:rPr>
          <w:rFonts w:ascii="Times New Roman" w:hAnsi="Times New Roman"/>
          <w:b w:val="0"/>
          <w:i w:val="0"/>
          <w:color w:val="0F172A"/>
          <w:sz w:val="23"/>
        </w:rPr>
        <w:t>Recent research has focused on attributed question answering and self-reflection. Bohnet et al. [14] emphasized that enterprise LLMs must provide verifiable citations pointing directly to supporting document spans. Asai et al. [8] developed Self-RAG, demonstrating that equipping models with explicit retrieval and reflection tokens enables them to abstain from answering when retrieved passages provide insufficient evidence. Similarly, Yoran et al. [13] demonstrated that RAG systems must be explicitly engineered to ignore irrelevant retrieved distractors to prevent false consensus generation.</w:t>
      </w:r>
    </w:p>
    <w:p>
      <w:pPr>
        <w:keepNext/>
        <w:spacing w:before="280" w:after="120"/>
        <w:jc w:val="left"/>
      </w:pPr>
      <w:r>
        <w:rPr>
          <w:rFonts w:ascii="Times New Roman" w:hAnsi="Times New Roman"/>
          <w:b/>
          <w:color w:val="0F172A"/>
          <w:sz w:val="28"/>
        </w:rPr>
        <w:t>3. Research Gap</w:t>
      </w:r>
    </w:p>
    <w:p>
      <w:pPr>
        <w:spacing w:after="120"/>
      </w:pPr>
      <w:r>
        <w:rPr>
          <w:rFonts w:ascii="Times New Roman" w:hAnsi="Times New Roman"/>
          <w:b w:val="0"/>
          <w:i w:val="0"/>
          <w:color w:val="0F172A"/>
          <w:sz w:val="23"/>
        </w:rPr>
        <w:t>While prior literature independently examines RAG architectures [1], [9], PEFT algorithms [2], [3], and fact-checking protocols [7], [14], significant operational gaps remain regarding their end-to-end integration under constrained compute environments: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Gap 1 (Retrieval in Structured Policy Corpora):</w:t>
      </w:r>
      <w:r>
        <w:rPr>
          <w:rFonts w:ascii="Times New Roman" w:hAnsi="Times New Roman"/>
          <w:b w:val="0"/>
          <w:i w:val="0"/>
          <w:color w:val="0F172A"/>
          <w:sz w:val="22"/>
        </w:rPr>
        <w:t xml:space="preserve"> Existing hybrid retrieval studies predominantly evaluate data-center neural bi-encoders [11]. The performance of combining sparse lexical scoring with lightweight, deterministic 32-dimensional hash-vector representations fused via RRF remains less explored on constrained edge devices.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Gap 2 (Sub-1B Model Domain Adaptation via QLoRA):</w:t>
      </w:r>
      <w:r>
        <w:rPr>
          <w:rFonts w:ascii="Times New Roman" w:hAnsi="Times New Roman"/>
          <w:b w:val="0"/>
          <w:i w:val="0"/>
          <w:color w:val="0F172A"/>
          <w:sz w:val="22"/>
        </w:rPr>
        <w:t xml:space="preserve"> Most QLoRA literature benchmarks 7B–65B parameter models on enterprise server GPUs [3]. Empirical evaluation of 4-bit NF4 QLoRA on compact sub-1B models (</w:t>
      </w:r>
      <w:r>
        <w:rPr>
          <w:rFonts w:ascii="Consolas" w:hAnsi="Consolas"/>
          <w:color w:val="1E293B"/>
          <w:sz w:val="20"/>
        </w:rPr>
        <w:t>Qwen2.5-0.5B</w:t>
      </w:r>
      <w:r>
        <w:rPr>
          <w:rFonts w:ascii="Times New Roman" w:hAnsi="Times New Roman"/>
          <w:b w:val="0"/>
          <w:i w:val="0"/>
          <w:color w:val="0F172A"/>
          <w:sz w:val="22"/>
        </w:rPr>
        <w:t>) executing on 4 GB laptop GPUs represents an under-investigated efficiency frontier.</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Gap 3 (Deterministic Claim Attribution):</w:t>
      </w:r>
      <w:r>
        <w:rPr>
          <w:rFonts w:ascii="Times New Roman" w:hAnsi="Times New Roman"/>
          <w:b w:val="0"/>
          <w:i w:val="0"/>
          <w:color w:val="0F172A"/>
          <w:sz w:val="22"/>
        </w:rPr>
        <w:t xml:space="preserve"> Contemporary RAG systems frequently rely on external LLM judges for factual verification, adding latency and compounding costs. There is a need for deterministic, in-pipeline sentence-level claim verification and continuous reliability scoring that operates within milliseconds on CPU.</w:t>
      </w:r>
    </w:p>
    <w:p>
      <w:pPr>
        <w:keepNext/>
        <w:spacing w:before="280" w:after="120"/>
        <w:jc w:val="left"/>
      </w:pPr>
      <w:r>
        <w:rPr>
          <w:rFonts w:ascii="Times New Roman" w:hAnsi="Times New Roman"/>
          <w:b/>
          <w:color w:val="0F172A"/>
          <w:sz w:val="28"/>
        </w:rPr>
        <w:t>4. Research Questions and Objectives</w:t>
      </w:r>
    </w:p>
    <w:p>
      <w:pPr>
        <w:spacing w:after="120"/>
      </w:pPr>
      <w:r>
        <w:rPr>
          <w:rFonts w:ascii="Times New Roman" w:hAnsi="Times New Roman"/>
          <w:b w:val="0"/>
          <w:i w:val="0"/>
          <w:color w:val="0F172A"/>
          <w:sz w:val="23"/>
        </w:rPr>
        <w:t>This study investigates these research gaps through four concrete, experimentally testable Research Questions (RQs) and corresponding Research Objectives (ROs):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RQ1 / RO1 (Hybrid Retrieval Precision):</w:t>
      </w:r>
      <w:r>
        <w:rPr>
          <w:rFonts w:ascii="Times New Roman" w:hAnsi="Times New Roman"/>
          <w:b w:val="0"/>
          <w:i w:val="0"/>
          <w:color w:val="0F172A"/>
          <w:sz w:val="22"/>
        </w:rPr>
        <w:t xml:space="preserve"> How effectively do sparse lexical matching (BM25), a 32-dimensional deterministic hash-vector representation, and their non-linear fusion via Reciprocal Rank Fusion (RRF) retrieve and rank candidate policy evidence?</w:t>
      </w:r>
    </w:p>
    <w:p>
      <w:pPr>
        <w:spacing w:after="120"/>
      </w:pPr>
      <w:r>
        <w:rPr>
          <w:rFonts w:ascii="Times New Roman" w:hAnsi="Times New Roman"/>
          <w:b w:val="0"/>
          <w:i/>
          <w:color w:val="0F172A"/>
          <w:sz w:val="23"/>
        </w:rPr>
        <w:t>Objective:</w:t>
      </w:r>
      <w:r>
        <w:rPr>
          <w:rFonts w:ascii="Times New Roman" w:hAnsi="Times New Roman"/>
          <w:b w:val="0"/>
          <w:i w:val="0"/>
          <w:color w:val="0F172A"/>
          <w:sz w:val="23"/>
        </w:rPr>
        <w:t xml:space="preserve"> Measure Recall@5 and Mean Reciprocal Rank (MRR) across enterprise customer support documentation.</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RQ2 / RO2 (Parameter-Efficient Domain Adaptation):</w:t>
      </w:r>
      <w:r>
        <w:rPr>
          <w:rFonts w:ascii="Times New Roman" w:hAnsi="Times New Roman"/>
          <w:b w:val="0"/>
          <w:i w:val="0"/>
          <w:color w:val="0F172A"/>
          <w:sz w:val="22"/>
        </w:rPr>
        <w:t xml:space="preserve"> To what extent can low-rank parameter-efficient adaptation (FP16 LoRA and 4-bit NF4 QLoRA) condition a sub-1B foundation model (</w:t>
      </w:r>
      <w:r>
        <w:rPr>
          <w:rFonts w:ascii="Consolas" w:hAnsi="Consolas"/>
          <w:color w:val="1E293B"/>
          <w:sz w:val="20"/>
        </w:rPr>
        <w:t>Qwen/Qwen2.5-0.5B-Instruct</w:t>
      </w:r>
      <w:r>
        <w:rPr>
          <w:rFonts w:ascii="Times New Roman" w:hAnsi="Times New Roman"/>
          <w:b w:val="0"/>
          <w:i w:val="0"/>
          <w:color w:val="0F172A"/>
          <w:sz w:val="22"/>
        </w:rPr>
        <w:t xml:space="preserve">) to adhere strictly to retrieved context while training </w:t>
      </w:r>
      <w:r>
        <w:rPr>
          <w:rFonts w:ascii="Times New Roman" w:hAnsi="Times New Roman"/>
          <w:i/>
          <w:color w:val="0F172A"/>
          <w:sz w:val="22"/>
        </w:rPr>
        <w:t>≤ 0.11\%</w:t>
      </w:r>
      <w:r>
        <w:rPr>
          <w:rFonts w:ascii="Times New Roman" w:hAnsi="Times New Roman"/>
          <w:b w:val="0"/>
          <w:i w:val="0"/>
          <w:color w:val="0F172A"/>
          <w:sz w:val="22"/>
        </w:rPr>
        <w:t xml:space="preserve"> of model parameters?</w:t>
      </w:r>
    </w:p>
    <w:p>
      <w:pPr>
        <w:spacing w:after="120"/>
      </w:pPr>
      <w:r>
        <w:rPr>
          <w:rFonts w:ascii="Times New Roman" w:hAnsi="Times New Roman"/>
          <w:b w:val="0"/>
          <w:i/>
          <w:color w:val="0F172A"/>
          <w:sz w:val="23"/>
        </w:rPr>
        <w:t>Objective:</w:t>
      </w:r>
      <w:r>
        <w:rPr>
          <w:rFonts w:ascii="Times New Roman" w:hAnsi="Times New Roman"/>
          <w:b w:val="0"/>
          <w:i w:val="0"/>
          <w:color w:val="0F172A"/>
          <w:sz w:val="23"/>
        </w:rPr>
        <w:t xml:space="preserve"> Validate fine-tuning convergence, parameter efficiency, and training latency on a single consumer laptop workstation.</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RQ3 / RO3 (Deterministic Grounding and Safe Refusal):</w:t>
      </w:r>
      <w:r>
        <w:rPr>
          <w:rFonts w:ascii="Times New Roman" w:hAnsi="Times New Roman"/>
          <w:b w:val="0"/>
          <w:i w:val="0"/>
          <w:color w:val="0F172A"/>
          <w:sz w:val="22"/>
        </w:rPr>
        <w:t xml:space="preserve"> Can an in-pipeline, sentence-level claim verification engine reliably attribute facts to source passages and enforce safe refusals on adversarial, out-of-domain queries without invoking secondary LLMs?</w:t>
      </w:r>
    </w:p>
    <w:p>
      <w:pPr>
        <w:spacing w:after="120"/>
      </w:pPr>
      <w:r>
        <w:rPr>
          <w:rFonts w:ascii="Times New Roman" w:hAnsi="Times New Roman"/>
          <w:b w:val="0"/>
          <w:i/>
          <w:color w:val="0F172A"/>
          <w:sz w:val="23"/>
        </w:rPr>
        <w:t>Objective:</w:t>
      </w:r>
      <w:r>
        <w:rPr>
          <w:rFonts w:ascii="Times New Roman" w:hAnsi="Times New Roman"/>
          <w:b w:val="0"/>
          <w:i w:val="0"/>
          <w:color w:val="0F172A"/>
          <w:sz w:val="23"/>
        </w:rPr>
        <w:t xml:space="preserve"> Quantify claim faithfulness, citation correctness, and hallucination suppression on frozen holdout cases.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RQ4 / RO4 (Hardware Efficiency Trade-Offs):</w:t>
      </w:r>
      <w:r>
        <w:rPr>
          <w:rFonts w:ascii="Times New Roman" w:hAnsi="Times New Roman"/>
          <w:b w:val="0"/>
          <w:i w:val="0"/>
          <w:color w:val="0F172A"/>
          <w:sz w:val="22"/>
        </w:rPr>
        <w:t xml:space="preserve"> What are the empirical trade-offs between unquantized FP16 LoRA and 4-bit quantized QLoRA in terms of autoregressive generation latency and peak active GPU VRAM allocation under a strict 4.0 GB physical memory boundary?</w:t>
      </w:r>
    </w:p>
    <w:p>
      <w:pPr>
        <w:spacing w:after="120"/>
      </w:pPr>
      <w:r>
        <w:rPr>
          <w:rFonts w:ascii="Times New Roman" w:hAnsi="Times New Roman"/>
          <w:b w:val="0"/>
          <w:i/>
          <w:color w:val="0F172A"/>
          <w:sz w:val="23"/>
        </w:rPr>
        <w:t>Objective:</w:t>
      </w:r>
      <w:r>
        <w:rPr>
          <w:rFonts w:ascii="Times New Roman" w:hAnsi="Times New Roman"/>
          <w:b w:val="0"/>
          <w:i w:val="0"/>
          <w:color w:val="0F172A"/>
          <w:sz w:val="23"/>
        </w:rPr>
        <w:t xml:space="preserve"> Record synchronized live GPU telemetry on an NVIDIA GeForce RTX 2050 Laptop GPU during benchmark execution.</w:t>
      </w:r>
    </w:p>
    <w:p>
      <w:pPr>
        <w:keepNext/>
        <w:spacing w:before="280" w:after="120"/>
        <w:jc w:val="left"/>
      </w:pPr>
      <w:r>
        <w:rPr>
          <w:rFonts w:ascii="Times New Roman" w:hAnsi="Times New Roman"/>
          <w:b/>
          <w:color w:val="0F172A"/>
          <w:sz w:val="28"/>
        </w:rPr>
        <w:t>5. Methodology</w:t>
      </w:r>
    </w:p>
    <w:p>
      <w:pPr>
        <w:spacing w:after="120"/>
      </w:pPr>
      <w:r>
        <w:rPr>
          <w:rFonts w:ascii="Times New Roman" w:hAnsi="Times New Roman"/>
          <w:b w:val="0"/>
          <w:i w:val="0"/>
          <w:color w:val="0F172A"/>
          <w:sz w:val="23"/>
        </w:rPr>
        <w:t>The complete SupportIQ operational methodology spans seven sequential processing stages:</w:t>
      </w:r>
    </w:p>
    <w:p>
      <w:pPr>
        <w:spacing w:after="80"/>
        <w:ind w:left="432"/>
      </w:pPr>
      <w:r>
        <w:rPr>
          <w:rFonts w:ascii="Times New Roman" w:hAnsi="Times New Roman"/>
          <w:b/>
          <w:sz w:val="22"/>
        </w:rPr>
        <w:t xml:space="preserve">1.  </w:t>
      </w:r>
      <w:r>
        <w:rPr>
          <w:rFonts w:ascii="Times New Roman" w:hAnsi="Times New Roman"/>
          <w:b/>
          <w:i w:val="0"/>
          <w:color w:val="0F172A"/>
          <w:sz w:val="22"/>
        </w:rPr>
        <w:t>Document Ingestion:</w:t>
      </w:r>
      <w:r>
        <w:rPr>
          <w:rFonts w:ascii="Times New Roman" w:hAnsi="Times New Roman"/>
          <w:b w:val="0"/>
          <w:i w:val="0"/>
          <w:color w:val="0F172A"/>
          <w:sz w:val="22"/>
        </w:rPr>
        <w:t xml:space="preserve"> Ingesting enterprise policy documents, verifying checksums, and storing physical files in secure storage.</w:t>
      </w:r>
    </w:p>
    <w:p>
      <w:pPr>
        <w:spacing w:after="80"/>
        <w:ind w:left="432"/>
      </w:pPr>
      <w:r>
        <w:rPr>
          <w:rFonts w:ascii="Times New Roman" w:hAnsi="Times New Roman"/>
          <w:b/>
          <w:sz w:val="22"/>
        </w:rPr>
        <w:t xml:space="preserve">2.  </w:t>
      </w:r>
      <w:r>
        <w:rPr>
          <w:rFonts w:ascii="Times New Roman" w:hAnsi="Times New Roman"/>
          <w:b/>
          <w:i w:val="0"/>
          <w:color w:val="0F172A"/>
          <w:sz w:val="22"/>
        </w:rPr>
        <w:t>Structural Extraction and Chunking:</w:t>
      </w:r>
      <w:r>
        <w:rPr>
          <w:rFonts w:ascii="Times New Roman" w:hAnsi="Times New Roman"/>
          <w:b w:val="0"/>
          <w:i w:val="0"/>
          <w:color w:val="0F172A"/>
          <w:sz w:val="22"/>
        </w:rPr>
        <w:t xml:space="preserve"> Extracting text page-by-page, embedding structural page markers (</w:t>
      </w:r>
      <w:r>
        <w:rPr>
          <w:rFonts w:ascii="Consolas" w:hAnsi="Consolas"/>
          <w:color w:val="1E293B"/>
          <w:sz w:val="20"/>
        </w:rPr>
        <w:t>[Page X]</w:t>
      </w:r>
      <w:r>
        <w:rPr>
          <w:rFonts w:ascii="Times New Roman" w:hAnsi="Times New Roman"/>
          <w:b w:val="0"/>
          <w:i w:val="0"/>
          <w:color w:val="0F172A"/>
          <w:sz w:val="22"/>
        </w:rPr>
        <w:t>), and partitioning documents into cohesive semantic chunks.</w:t>
      </w:r>
    </w:p>
    <w:p>
      <w:pPr>
        <w:spacing w:after="80"/>
        <w:ind w:left="432"/>
      </w:pPr>
      <w:r>
        <w:rPr>
          <w:rFonts w:ascii="Times New Roman" w:hAnsi="Times New Roman"/>
          <w:b/>
          <w:sz w:val="22"/>
        </w:rPr>
        <w:t xml:space="preserve">3.  </w:t>
      </w:r>
      <w:r>
        <w:rPr>
          <w:rFonts w:ascii="Times New Roman" w:hAnsi="Times New Roman"/>
          <w:b/>
          <w:i w:val="0"/>
          <w:color w:val="0F172A"/>
          <w:sz w:val="22"/>
        </w:rPr>
        <w:t>Deterministic Vector and Lexical Indexing:</w:t>
      </w:r>
      <w:r>
        <w:rPr>
          <w:rFonts w:ascii="Times New Roman" w:hAnsi="Times New Roman"/>
          <w:b w:val="0"/>
          <w:i w:val="0"/>
          <w:color w:val="0F172A"/>
          <w:sz w:val="22"/>
        </w:rPr>
        <w:t xml:space="preserve"> Generating 32-dimensional hash vectors via SHA-1 hashing and indexing substantive lexical tokens.</w:t>
      </w:r>
    </w:p>
    <w:p>
      <w:pPr>
        <w:spacing w:after="80"/>
        <w:ind w:left="432"/>
      </w:pPr>
      <w:r>
        <w:rPr>
          <w:rFonts w:ascii="Times New Roman" w:hAnsi="Times New Roman"/>
          <w:b/>
          <w:sz w:val="22"/>
        </w:rPr>
        <w:t xml:space="preserve">4.  </w:t>
      </w:r>
      <w:r>
        <w:rPr>
          <w:rFonts w:ascii="Times New Roman" w:hAnsi="Times New Roman"/>
          <w:b/>
          <w:i w:val="0"/>
          <w:color w:val="0F172A"/>
          <w:sz w:val="22"/>
        </w:rPr>
        <w:t>Two-Stage Hybrid Candidate Retrieval:</w:t>
      </w:r>
      <w:r>
        <w:rPr>
          <w:rFonts w:ascii="Times New Roman" w:hAnsi="Times New Roman"/>
          <w:b w:val="0"/>
          <w:i w:val="0"/>
          <w:color w:val="0F172A"/>
          <w:sz w:val="22"/>
        </w:rPr>
        <w:t xml:space="preserve"> Gathering candidate passages through parallel lexical and deterministic vector channels and re-ranking them using Reciprocal Rank Fusion.</w:t>
      </w:r>
    </w:p>
    <w:p>
      <w:pPr>
        <w:spacing w:after="80"/>
        <w:ind w:left="432"/>
      </w:pPr>
      <w:r>
        <w:rPr>
          <w:rFonts w:ascii="Times New Roman" w:hAnsi="Times New Roman"/>
          <w:b/>
          <w:sz w:val="22"/>
        </w:rPr>
        <w:t xml:space="preserve">5.  </w:t>
      </w:r>
      <w:r>
        <w:rPr>
          <w:rFonts w:ascii="Times New Roman" w:hAnsi="Times New Roman"/>
          <w:b/>
          <w:i w:val="0"/>
          <w:color w:val="0F172A"/>
          <w:sz w:val="22"/>
        </w:rPr>
        <w:t>Algorithmic Evidence Gating:</w:t>
      </w:r>
      <w:r>
        <w:rPr>
          <w:rFonts w:ascii="Times New Roman" w:hAnsi="Times New Roman"/>
          <w:b w:val="0"/>
          <w:i w:val="0"/>
          <w:color w:val="0F172A"/>
          <w:sz w:val="22"/>
        </w:rPr>
        <w:t xml:space="preserve"> Evaluating candidate relevance against composite similarity and substantive keyword thresholds to filter unsupported queries.</w:t>
      </w:r>
    </w:p>
    <w:p>
      <w:pPr>
        <w:spacing w:after="80"/>
        <w:ind w:left="432"/>
      </w:pPr>
      <w:r>
        <w:rPr>
          <w:rFonts w:ascii="Times New Roman" w:hAnsi="Times New Roman"/>
          <w:b/>
          <w:sz w:val="22"/>
        </w:rPr>
        <w:t xml:space="preserve">6.  </w:t>
      </w:r>
      <w:r>
        <w:rPr>
          <w:rFonts w:ascii="Times New Roman" w:hAnsi="Times New Roman"/>
          <w:b/>
          <w:i w:val="0"/>
          <w:color w:val="0F172A"/>
          <w:sz w:val="22"/>
        </w:rPr>
        <w:t>Adapter-Based Neural Synthesis:</w:t>
      </w:r>
      <w:r>
        <w:rPr>
          <w:rFonts w:ascii="Times New Roman" w:hAnsi="Times New Roman"/>
          <w:b w:val="0"/>
          <w:i w:val="0"/>
          <w:color w:val="0F172A"/>
          <w:sz w:val="22"/>
        </w:rPr>
        <w:t xml:space="preserve"> Conditioning the PEFT-adapted </w:t>
      </w:r>
      <w:r>
        <w:rPr>
          <w:rFonts w:ascii="Consolas" w:hAnsi="Consolas"/>
          <w:color w:val="1E293B"/>
          <w:sz w:val="20"/>
        </w:rPr>
        <w:t>Qwen2.5-0.5B</w:t>
      </w:r>
      <w:r>
        <w:rPr>
          <w:rFonts w:ascii="Times New Roman" w:hAnsi="Times New Roman"/>
          <w:b w:val="0"/>
          <w:i w:val="0"/>
          <w:color w:val="0F172A"/>
          <w:sz w:val="22"/>
        </w:rPr>
        <w:t xml:space="preserve"> model on the top retrieved context using greedy decoding.</w:t>
      </w:r>
    </w:p>
    <w:p>
      <w:pPr>
        <w:spacing w:after="80"/>
        <w:ind w:left="432"/>
      </w:pPr>
      <w:r>
        <w:rPr>
          <w:rFonts w:ascii="Times New Roman" w:hAnsi="Times New Roman"/>
          <w:b/>
          <w:sz w:val="22"/>
        </w:rPr>
        <w:t xml:space="preserve">7.  </w:t>
      </w:r>
      <w:r>
        <w:rPr>
          <w:rFonts w:ascii="Times New Roman" w:hAnsi="Times New Roman"/>
          <w:b/>
          <w:i w:val="0"/>
          <w:color w:val="0F172A"/>
          <w:sz w:val="22"/>
        </w:rPr>
        <w:t>Grounding Verification and Provenance Attribution:</w:t>
      </w:r>
      <w:r>
        <w:rPr>
          <w:rFonts w:ascii="Times New Roman" w:hAnsi="Times New Roman"/>
          <w:b w:val="0"/>
          <w:i w:val="0"/>
          <w:color w:val="0F172A"/>
          <w:sz w:val="22"/>
        </w:rPr>
        <w:t xml:space="preserve"> Decomposing generated answers into claims, calculating continuous reliability, formatting page-level citations, or triggering safe abstentions.</w:t>
      </w:r>
    </w:p>
    <w:p>
      <w:pPr>
        <w:keepNext/>
        <w:spacing w:before="280" w:after="120"/>
        <w:jc w:val="left"/>
      </w:pPr>
      <w:r>
        <w:rPr>
          <w:rFonts w:ascii="Times New Roman" w:hAnsi="Times New Roman"/>
          <w:b/>
          <w:color w:val="0F172A"/>
          <w:sz w:val="28"/>
        </w:rPr>
        <w:t>6. Dataset and Data Preparation</w:t>
      </w:r>
    </w:p>
    <w:p>
      <w:pPr>
        <w:keepNext/>
        <w:spacing w:before="200" w:after="80"/>
        <w:jc w:val="left"/>
      </w:pPr>
      <w:r>
        <w:rPr>
          <w:rFonts w:ascii="Times New Roman" w:hAnsi="Times New Roman"/>
          <w:b/>
          <w:color w:val="1E293B"/>
          <w:sz w:val="25"/>
        </w:rPr>
        <w:t>6.1 Knowledge Base Corpus</w:t>
      </w:r>
    </w:p>
    <w:p>
      <w:pPr>
        <w:spacing w:after="120"/>
      </w:pPr>
      <w:r>
        <w:rPr>
          <w:rFonts w:ascii="Times New Roman" w:hAnsi="Times New Roman"/>
          <w:b w:val="0"/>
          <w:i w:val="0"/>
          <w:color w:val="0F172A"/>
          <w:sz w:val="23"/>
        </w:rPr>
        <w:t>The SupportIQ knowledge base consists of authentic customer service operational documents covering commercial guarantees, terms of service, warranty workflows, billing guides, and administrative security:</w:t>
      </w:r>
    </w:p>
    <w:p>
      <w:pPr>
        <w:spacing w:after="80"/>
        <w:ind w:left="432"/>
      </w:pPr>
      <w:r>
        <w:rPr>
          <w:rFonts w:ascii="Times New Roman" w:hAnsi="Times New Roman"/>
          <w:b/>
          <w:color w:val="1E3A8A"/>
          <w:sz w:val="22"/>
        </w:rPr>
        <w:t xml:space="preserve">•  </w:t>
      </w:r>
      <w:r>
        <w:rPr>
          <w:rFonts w:ascii="Consolas" w:hAnsi="Consolas"/>
          <w:color w:val="1E293B"/>
          <w:sz w:val="20"/>
        </w:rPr>
        <w:t>Return_Policy.pdf</w:t>
      </w:r>
      <w:r>
        <w:rPr>
          <w:rFonts w:ascii="Times New Roman" w:hAnsi="Times New Roman"/>
          <w:b w:val="0"/>
          <w:i w:val="0"/>
          <w:color w:val="0F172A"/>
          <w:sz w:val="22"/>
        </w:rPr>
        <w:t xml:space="preserve"> (Document 1, 3 chunks): Governs refund eligibility windows, return merchandise authorization, and refund disbursement processing.</w:t>
      </w:r>
    </w:p>
    <w:p>
      <w:pPr>
        <w:spacing w:after="80"/>
        <w:ind w:left="432"/>
      </w:pPr>
      <w:r>
        <w:rPr>
          <w:rFonts w:ascii="Times New Roman" w:hAnsi="Times New Roman"/>
          <w:b/>
          <w:color w:val="1E3A8A"/>
          <w:sz w:val="22"/>
        </w:rPr>
        <w:t xml:space="preserve">•  </w:t>
      </w:r>
      <w:r>
        <w:rPr>
          <w:rFonts w:ascii="Consolas" w:hAnsi="Consolas"/>
          <w:color w:val="1E293B"/>
          <w:sz w:val="20"/>
        </w:rPr>
        <w:t>Terms_of_Service.pdf</w:t>
      </w:r>
      <w:r>
        <w:rPr>
          <w:rFonts w:ascii="Times New Roman" w:hAnsi="Times New Roman"/>
          <w:b w:val="0"/>
          <w:i w:val="0"/>
          <w:color w:val="0F172A"/>
          <w:sz w:val="22"/>
        </w:rPr>
        <w:t xml:space="preserve"> (Document 2, 2 chunks): Specifies platform SLA uptime commitments and administrative credential security policies.</w:t>
      </w:r>
    </w:p>
    <w:p>
      <w:pPr>
        <w:spacing w:after="80"/>
        <w:ind w:left="432"/>
      </w:pPr>
      <w:r>
        <w:rPr>
          <w:rFonts w:ascii="Times New Roman" w:hAnsi="Times New Roman"/>
          <w:b/>
          <w:color w:val="1E3A8A"/>
          <w:sz w:val="22"/>
        </w:rPr>
        <w:t xml:space="preserve">•  </w:t>
      </w:r>
      <w:r>
        <w:rPr>
          <w:rFonts w:ascii="Consolas" w:hAnsi="Consolas"/>
          <w:color w:val="1E293B"/>
          <w:sz w:val="20"/>
        </w:rPr>
        <w:t>Product_Warranty.pdf</w:t>
      </w:r>
      <w:r>
        <w:rPr>
          <w:rFonts w:ascii="Times New Roman" w:hAnsi="Times New Roman"/>
          <w:b w:val="0"/>
          <w:i w:val="0"/>
          <w:color w:val="0F172A"/>
          <w:sz w:val="22"/>
        </w:rPr>
        <w:t xml:space="preserve"> (Document 3, 2 chunks): Documents standard Dell hardware warranty durations and pre-diagnostic RMA requirements.</w:t>
      </w:r>
    </w:p>
    <w:p>
      <w:pPr>
        <w:spacing w:after="80"/>
        <w:ind w:left="432"/>
      </w:pPr>
      <w:r>
        <w:rPr>
          <w:rFonts w:ascii="Times New Roman" w:hAnsi="Times New Roman"/>
          <w:b/>
          <w:color w:val="1E3A8A"/>
          <w:sz w:val="22"/>
        </w:rPr>
        <w:t xml:space="preserve">•  </w:t>
      </w:r>
      <w:r>
        <w:rPr>
          <w:rFonts w:ascii="Consolas" w:hAnsi="Consolas"/>
          <w:color w:val="1E293B"/>
          <w:sz w:val="20"/>
        </w:rPr>
        <w:t>Customer_FAQ.pdf</w:t>
      </w:r>
      <w:r>
        <w:rPr>
          <w:rFonts w:ascii="Times New Roman" w:hAnsi="Times New Roman"/>
          <w:b w:val="0"/>
          <w:i w:val="0"/>
          <w:color w:val="0F172A"/>
          <w:sz w:val="22"/>
        </w:rPr>
        <w:t xml:space="preserve"> (Document 4, 2 chunks): Outlines self-service password reset procedures and third-party ticketing integrations.</w:t>
      </w:r>
    </w:p>
    <w:p>
      <w:pPr>
        <w:spacing w:after="80"/>
        <w:ind w:left="432"/>
      </w:pPr>
      <w:r>
        <w:rPr>
          <w:rFonts w:ascii="Times New Roman" w:hAnsi="Times New Roman"/>
          <w:b/>
          <w:color w:val="1E3A8A"/>
          <w:sz w:val="22"/>
        </w:rPr>
        <w:t xml:space="preserve">•  </w:t>
      </w:r>
      <w:r>
        <w:rPr>
          <w:rFonts w:ascii="Consolas" w:hAnsi="Consolas"/>
          <w:color w:val="1E293B"/>
          <w:sz w:val="20"/>
        </w:rPr>
        <w:t>Payment_Guide.docx</w:t>
      </w:r>
      <w:r>
        <w:rPr>
          <w:rFonts w:ascii="Times New Roman" w:hAnsi="Times New Roman"/>
          <w:b w:val="0"/>
          <w:i w:val="0"/>
          <w:color w:val="0F172A"/>
          <w:sz w:val="22"/>
        </w:rPr>
        <w:t xml:space="preserve"> (Document 5, 2 chunks): Details accepted payment methods and invoice download workflows.</w:t>
      </w:r>
    </w:p>
    <w:p>
      <w:pPr>
        <w:spacing w:after="80"/>
        <w:ind w:left="432"/>
      </w:pPr>
      <w:r>
        <w:rPr>
          <w:rFonts w:ascii="Times New Roman" w:hAnsi="Times New Roman"/>
          <w:b/>
          <w:color w:val="1E3A8A"/>
          <w:sz w:val="22"/>
        </w:rPr>
        <w:t xml:space="preserve">•  </w:t>
      </w:r>
      <w:r>
        <w:rPr>
          <w:rFonts w:ascii="Consolas" w:hAnsi="Consolas"/>
          <w:color w:val="1E293B"/>
          <w:sz w:val="20"/>
        </w:rPr>
        <w:t>Account_Management.pdf</w:t>
      </w:r>
      <w:r>
        <w:rPr>
          <w:rFonts w:ascii="Times New Roman" w:hAnsi="Times New Roman"/>
          <w:b w:val="0"/>
          <w:i w:val="0"/>
          <w:color w:val="0F172A"/>
          <w:sz w:val="22"/>
        </w:rPr>
        <w:t xml:space="preserve"> (Document 6, 2 chunks): Specifies role permissions and data encryption standards.</w:t>
      </w:r>
    </w:p>
    <w:p>
      <w:pPr>
        <w:spacing w:after="80"/>
        <w:ind w:left="432"/>
      </w:pPr>
      <w:r>
        <w:rPr>
          <w:rFonts w:ascii="Times New Roman" w:hAnsi="Times New Roman"/>
          <w:b/>
          <w:color w:val="1E3A8A"/>
          <w:sz w:val="22"/>
        </w:rPr>
        <w:t xml:space="preserve">•  </w:t>
      </w:r>
      <w:r>
        <w:rPr>
          <w:rFonts w:ascii="Consolas" w:hAnsi="Consolas"/>
          <w:color w:val="1E293B"/>
          <w:sz w:val="20"/>
        </w:rPr>
        <w:t>Express_Replacement_Policy_Test.txt</w:t>
      </w:r>
      <w:r>
        <w:rPr>
          <w:rFonts w:ascii="Times New Roman" w:hAnsi="Times New Roman"/>
          <w:b w:val="0"/>
          <w:i w:val="0"/>
          <w:color w:val="0F172A"/>
          <w:sz w:val="22"/>
        </w:rPr>
        <w:t xml:space="preserve"> (Document 8, 1 chunk): Outlines express replacement dispatch guidelines.</w:t>
      </w:r>
    </w:p>
    <w:p>
      <w:pPr>
        <w:spacing w:after="120"/>
      </w:pPr>
      <w:r>
        <w:rPr>
          <w:rFonts w:ascii="Times New Roman" w:hAnsi="Times New Roman"/>
          <w:b w:val="0"/>
          <w:i w:val="0"/>
          <w:color w:val="0F172A"/>
          <w:sz w:val="23"/>
        </w:rPr>
        <w:t>Across all 7 documents, a total of 14 discrete policy chunks are maintained in SQLite (</w:t>
      </w:r>
      <w:r>
        <w:rPr>
          <w:rFonts w:ascii="Consolas" w:hAnsi="Consolas"/>
          <w:color w:val="1E293B"/>
          <w:sz w:val="21"/>
        </w:rPr>
        <w:t>supportiq.db</w:t>
      </w:r>
      <w:r>
        <w:rPr>
          <w:rFonts w:ascii="Times New Roman" w:hAnsi="Times New Roman"/>
          <w:b w:val="0"/>
          <w:i w:val="0"/>
          <w:color w:val="0F172A"/>
          <w:sz w:val="23"/>
        </w:rPr>
        <w:t>).</w:t>
      </w:r>
    </w:p>
    <w:p>
      <w:pPr>
        <w:keepNext/>
        <w:spacing w:before="200" w:after="80"/>
        <w:jc w:val="left"/>
      </w:pPr>
      <w:r>
        <w:rPr>
          <w:rFonts w:ascii="Times New Roman" w:hAnsi="Times New Roman"/>
          <w:b/>
          <w:color w:val="1E293B"/>
          <w:sz w:val="25"/>
        </w:rPr>
        <w:t>6.2 Document Preprocessing, Page Tracking, and Chunking</w:t>
      </w:r>
    </w:p>
    <w:p>
      <w:pPr>
        <w:spacing w:after="120"/>
      </w:pPr>
      <w:r>
        <w:rPr>
          <w:rFonts w:ascii="Times New Roman" w:hAnsi="Times New Roman"/>
          <w:b w:val="0"/>
          <w:i w:val="0"/>
          <w:color w:val="0F172A"/>
          <w:sz w:val="23"/>
        </w:rPr>
        <w:t>Document ingestion is handled via specialized format parsers: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PDF Ingestion:</w:t>
      </w:r>
      <w:r>
        <w:rPr>
          <w:rFonts w:ascii="Times New Roman" w:hAnsi="Times New Roman"/>
          <w:b w:val="0"/>
          <w:i w:val="0"/>
          <w:color w:val="0F172A"/>
          <w:sz w:val="22"/>
        </w:rPr>
        <w:t xml:space="preserve"> Executed via </w:t>
      </w:r>
      <w:r>
        <w:rPr>
          <w:rFonts w:ascii="Consolas" w:hAnsi="Consolas"/>
          <w:color w:val="1E293B"/>
          <w:sz w:val="20"/>
        </w:rPr>
        <w:t>pypdf.PdfReader</w:t>
      </w:r>
      <w:r>
        <w:rPr>
          <w:rFonts w:ascii="Times New Roman" w:hAnsi="Times New Roman"/>
          <w:b w:val="0"/>
          <w:i w:val="0"/>
          <w:color w:val="0F172A"/>
          <w:sz w:val="22"/>
        </w:rPr>
        <w:t>, extracting text page-by-page and embedding structural page markers (</w:t>
      </w:r>
      <w:r>
        <w:rPr>
          <w:rFonts w:ascii="Consolas" w:hAnsi="Consolas"/>
          <w:color w:val="1E293B"/>
          <w:sz w:val="20"/>
        </w:rPr>
        <w:t>[Page X]</w:t>
      </w:r>
      <w:r>
        <w:rPr>
          <w:rFonts w:ascii="Times New Roman" w:hAnsi="Times New Roman"/>
          <w:b w:val="0"/>
          <w:i w:val="0"/>
          <w:color w:val="0F172A"/>
          <w:sz w:val="22"/>
        </w:rPr>
        <w:t>) into chunk metadata.</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DOCX Ingestion:</w:t>
      </w:r>
      <w:r>
        <w:rPr>
          <w:rFonts w:ascii="Times New Roman" w:hAnsi="Times New Roman"/>
          <w:b w:val="0"/>
          <w:i w:val="0"/>
          <w:color w:val="0F172A"/>
          <w:sz w:val="22"/>
        </w:rPr>
        <w:t xml:space="preserve"> Executed via </w:t>
      </w:r>
      <w:r>
        <w:rPr>
          <w:rFonts w:ascii="Consolas" w:hAnsi="Consolas"/>
          <w:color w:val="1E293B"/>
          <w:sz w:val="20"/>
        </w:rPr>
        <w:t>python-docx</w:t>
      </w:r>
      <w:r>
        <w:rPr>
          <w:rFonts w:ascii="Times New Roman" w:hAnsi="Times New Roman"/>
          <w:b w:val="0"/>
          <w:i w:val="0"/>
          <w:color w:val="0F172A"/>
          <w:sz w:val="22"/>
        </w:rPr>
        <w:t>, traversing structured tables and paragraphs.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Text Segmentation:</w:t>
      </w:r>
      <w:r>
        <w:rPr>
          <w:rFonts w:ascii="Times New Roman" w:hAnsi="Times New Roman"/>
          <w:b w:val="0"/>
          <w:i w:val="0"/>
          <w:color w:val="0F172A"/>
          <w:sz w:val="22"/>
        </w:rPr>
        <w:t xml:space="preserve"> Text is partitioned into cohesive semantic chunks along paragraph boundaries, maintaining an average length of 250 to 550 characters.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Vector Indexing:</w:t>
      </w:r>
      <w:r>
        <w:rPr>
          <w:rFonts w:ascii="Times New Roman" w:hAnsi="Times New Roman"/>
          <w:b w:val="0"/>
          <w:i w:val="0"/>
          <w:color w:val="0F172A"/>
          <w:sz w:val="22"/>
        </w:rPr>
        <w:t xml:space="preserve"> For each chunk, a 32-dimensional deterministic hash vector is generated via SHA-1 token hashing and stored directly in the chunk metadata JSON in SQLite (</w:t>
      </w:r>
      <w:r>
        <w:rPr>
          <w:rFonts w:ascii="Consolas" w:hAnsi="Consolas"/>
          <w:color w:val="1E293B"/>
          <w:sz w:val="20"/>
        </w:rPr>
        <w:t>supportiq.db</w:t>
      </w:r>
      <w:r>
        <w:rPr>
          <w:rFonts w:ascii="Times New Roman" w:hAnsi="Times New Roman"/>
          <w:b w:val="0"/>
          <w:i w:val="0"/>
          <w:color w:val="0F172A"/>
          <w:sz w:val="22"/>
        </w:rPr>
        <w:t>).</w:t>
      </w:r>
    </w:p>
    <w:p>
      <w:pPr>
        <w:keepNext/>
        <w:spacing w:before="200" w:after="80"/>
        <w:jc w:val="left"/>
      </w:pPr>
      <w:r>
        <w:rPr>
          <w:rFonts w:ascii="Times New Roman" w:hAnsi="Times New Roman"/>
          <w:b/>
          <w:color w:val="1E293B"/>
          <w:sz w:val="25"/>
        </w:rPr>
        <w:t>6.3 Fine-Tuning Datasets (`supportiq_train.jsonl` and `supportiq_val.jsonl`)</w:t>
      </w:r>
    </w:p>
    <w:p>
      <w:pPr>
        <w:spacing w:after="120"/>
      </w:pPr>
      <w:r>
        <w:rPr>
          <w:rFonts w:ascii="Times New Roman" w:hAnsi="Times New Roman"/>
          <w:b w:val="0"/>
          <w:i w:val="0"/>
          <w:color w:val="0F172A"/>
          <w:sz w:val="23"/>
        </w:rPr>
        <w:t>A domain-specific instruction dataset was generated directly from the knowledge base chunks to condition the model into adhering strictly to support context: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Training Set:</w:t>
      </w:r>
      <w:r>
        <w:rPr>
          <w:rFonts w:ascii="Times New Roman" w:hAnsi="Times New Roman"/>
          <w:b w:val="0"/>
          <w:i w:val="0"/>
          <w:color w:val="0F172A"/>
          <w:sz w:val="22"/>
        </w:rPr>
        <w:t xml:space="preserve"> 31 verified examples (</w:t>
      </w:r>
      <w:r>
        <w:rPr>
          <w:rFonts w:ascii="Consolas" w:hAnsi="Consolas"/>
          <w:color w:val="1E293B"/>
          <w:sz w:val="20"/>
        </w:rPr>
        <w:t>backend/data/training/supportiq_train.jsonl</w:t>
      </w:r>
      <w:r>
        <w:rPr>
          <w:rFonts w:ascii="Times New Roman" w:hAnsi="Times New Roman"/>
          <w:b w:val="0"/>
          <w:i w:val="0"/>
          <w:color w:val="0F172A"/>
          <w:sz w:val="22"/>
        </w:rPr>
        <w: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Validation Set:</w:t>
      </w:r>
      <w:r>
        <w:rPr>
          <w:rFonts w:ascii="Times New Roman" w:hAnsi="Times New Roman"/>
          <w:b w:val="0"/>
          <w:i w:val="0"/>
          <w:color w:val="0F172A"/>
          <w:sz w:val="22"/>
        </w:rPr>
        <w:t xml:space="preserve"> 10 verified examples (</w:t>
      </w:r>
      <w:r>
        <w:rPr>
          <w:rFonts w:ascii="Consolas" w:hAnsi="Consolas"/>
          <w:color w:val="1E293B"/>
          <w:sz w:val="20"/>
        </w:rPr>
        <w:t>backend/data/training/supportiq_val.jsonl</w:t>
      </w:r>
      <w:r>
        <w:rPr>
          <w:rFonts w:ascii="Times New Roman" w:hAnsi="Times New Roman"/>
          <w:b w:val="0"/>
          <w:i w:val="0"/>
          <w:color w:val="0F172A"/>
          <w:sz w:val="22"/>
        </w:rPr>
        <w: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Total Instruction Pool:</w:t>
      </w:r>
      <w:r>
        <w:rPr>
          <w:rFonts w:ascii="Times New Roman" w:hAnsi="Times New Roman"/>
          <w:b w:val="0"/>
          <w:i w:val="0"/>
          <w:color w:val="0F172A"/>
          <w:sz w:val="22"/>
        </w:rPr>
        <w:t xml:space="preserve"> 41 examples (75.6% train / 24.4% validation split).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Schema Integrity:</w:t>
      </w:r>
      <w:r>
        <w:rPr>
          <w:rFonts w:ascii="Times New Roman" w:hAnsi="Times New Roman"/>
          <w:b w:val="0"/>
          <w:i w:val="0"/>
          <w:color w:val="0F172A"/>
          <w:sz w:val="22"/>
        </w:rPr>
        <w:t xml:space="preserve"> Each record contains </w:t>
      </w:r>
      <w:r>
        <w:rPr>
          <w:rFonts w:ascii="Consolas" w:hAnsi="Consolas"/>
          <w:color w:val="1E293B"/>
          <w:sz w:val="20"/>
        </w:rPr>
        <w:t>id</w:t>
      </w:r>
      <w:r>
        <w:rPr>
          <w:rFonts w:ascii="Times New Roman" w:hAnsi="Times New Roman"/>
          <w:b w:val="0"/>
          <w:i w:val="0"/>
          <w:color w:val="0F172A"/>
          <w:sz w:val="22"/>
        </w:rPr>
        <w:t xml:space="preserve">, </w:t>
      </w:r>
      <w:r>
        <w:rPr>
          <w:rFonts w:ascii="Consolas" w:hAnsi="Consolas"/>
          <w:color w:val="1E293B"/>
          <w:sz w:val="20"/>
        </w:rPr>
        <w:t>instruction</w:t>
      </w:r>
      <w:r>
        <w:rPr>
          <w:rFonts w:ascii="Times New Roman" w:hAnsi="Times New Roman"/>
          <w:b w:val="0"/>
          <w:i w:val="0"/>
          <w:color w:val="0F172A"/>
          <w:sz w:val="22"/>
        </w:rPr>
        <w:t xml:space="preserve">, </w:t>
      </w:r>
      <w:r>
        <w:rPr>
          <w:rFonts w:ascii="Consolas" w:hAnsi="Consolas"/>
          <w:color w:val="1E293B"/>
          <w:sz w:val="20"/>
        </w:rPr>
        <w:t>context</w:t>
      </w:r>
      <w:r>
        <w:rPr>
          <w:rFonts w:ascii="Times New Roman" w:hAnsi="Times New Roman"/>
          <w:b w:val="0"/>
          <w:i w:val="0"/>
          <w:color w:val="0F172A"/>
          <w:sz w:val="22"/>
        </w:rPr>
        <w:t xml:space="preserve">, </w:t>
      </w:r>
      <w:r>
        <w:rPr>
          <w:rFonts w:ascii="Consolas" w:hAnsi="Consolas"/>
          <w:color w:val="1E293B"/>
          <w:sz w:val="20"/>
        </w:rPr>
        <w:t>question</w:t>
      </w:r>
      <w:r>
        <w:rPr>
          <w:rFonts w:ascii="Times New Roman" w:hAnsi="Times New Roman"/>
          <w:b w:val="0"/>
          <w:i w:val="0"/>
          <w:color w:val="0F172A"/>
          <w:sz w:val="22"/>
        </w:rPr>
        <w:t xml:space="preserve">, </w:t>
      </w:r>
      <w:r>
        <w:rPr>
          <w:rFonts w:ascii="Consolas" w:hAnsi="Consolas"/>
          <w:color w:val="1E293B"/>
          <w:sz w:val="20"/>
        </w:rPr>
        <w:t>answer</w:t>
      </w:r>
      <w:r>
        <w:rPr>
          <w:rFonts w:ascii="Times New Roman" w:hAnsi="Times New Roman"/>
          <w:b w:val="0"/>
          <w:i w:val="0"/>
          <w:color w:val="0F172A"/>
          <w:sz w:val="22"/>
        </w:rPr>
        <w:t xml:space="preserve">, and </w:t>
      </w:r>
      <w:r>
        <w:rPr>
          <w:rFonts w:ascii="Consolas" w:hAnsi="Consolas"/>
          <w:color w:val="1E293B"/>
          <w:sz w:val="20"/>
        </w:rPr>
        <w:t>metadata</w:t>
      </w:r>
      <w:r>
        <w:rPr>
          <w:rFonts w:ascii="Times New Roman" w:hAnsi="Times New Roman"/>
          <w:b w:val="0"/>
          <w:i w:val="0"/>
          <w:color w:val="0F172A"/>
          <w:sz w:val="22"/>
        </w:rPr>
        <w:t xml:space="preserve"> (capturing </w:t>
      </w:r>
      <w:r>
        <w:rPr>
          <w:rFonts w:ascii="Consolas" w:hAnsi="Consolas"/>
          <w:color w:val="1E293B"/>
          <w:sz w:val="20"/>
        </w:rPr>
        <w:t>category</w:t>
      </w:r>
      <w:r>
        <w:rPr>
          <w:rFonts w:ascii="Times New Roman" w:hAnsi="Times New Roman"/>
          <w:b w:val="0"/>
          <w:i w:val="0"/>
          <w:color w:val="0F172A"/>
          <w:sz w:val="22"/>
        </w:rPr>
        <w:t xml:space="preserve">, </w:t>
      </w:r>
      <w:r>
        <w:rPr>
          <w:rFonts w:ascii="Consolas" w:hAnsi="Consolas"/>
          <w:color w:val="1E293B"/>
          <w:sz w:val="20"/>
        </w:rPr>
        <w:t>document_id</w:t>
      </w:r>
      <w:r>
        <w:rPr>
          <w:rFonts w:ascii="Times New Roman" w:hAnsi="Times New Roman"/>
          <w:b w:val="0"/>
          <w:i w:val="0"/>
          <w:color w:val="0F172A"/>
          <w:sz w:val="22"/>
        </w:rPr>
        <w:t xml:space="preserve">, </w:t>
      </w:r>
      <w:r>
        <w:rPr>
          <w:rFonts w:ascii="Consolas" w:hAnsi="Consolas"/>
          <w:color w:val="1E293B"/>
          <w:sz w:val="20"/>
        </w:rPr>
        <w:t>chunk_id</w:t>
      </w:r>
      <w:r>
        <w:rPr>
          <w:rFonts w:ascii="Times New Roman" w:hAnsi="Times New Roman"/>
          <w:b w:val="0"/>
          <w:i w:val="0"/>
          <w:color w:val="0F172A"/>
          <w:sz w:val="22"/>
        </w:rPr>
        <w:t xml:space="preserve">, and </w:t>
      </w:r>
      <w:r>
        <w:rPr>
          <w:rFonts w:ascii="Consolas" w:hAnsi="Consolas"/>
          <w:color w:val="1E293B"/>
          <w:sz w:val="20"/>
        </w:rPr>
        <w:t>is_answerable</w:t>
      </w:r>
      <w:r>
        <w:rPr>
          <w:rFonts w:ascii="Times New Roman" w:hAnsi="Times New Roman"/>
          <w:b w:val="0"/>
          <w:i w:val="0"/>
          <w:color w:val="0F172A"/>
          <w:sz w:val="22"/>
        </w:rPr>
        <w:t>).</w:t>
      </w:r>
    </w:p>
    <w:p>
      <w:pPr>
        <w:keepNext/>
        <w:spacing w:before="200" w:after="80"/>
        <w:jc w:val="left"/>
      </w:pPr>
      <w:r>
        <w:rPr>
          <w:rFonts w:ascii="Times New Roman" w:hAnsi="Times New Roman"/>
          <w:b/>
          <w:color w:val="1E293B"/>
          <w:sz w:val="25"/>
        </w:rPr>
        <w:t>6.4 Benchmark Datasets and Strict Leakage Prevention</w:t>
      </w:r>
    </w:p>
    <w:p>
      <w:pPr>
        <w:spacing w:after="120"/>
      </w:pPr>
      <w:r>
        <w:rPr>
          <w:rFonts w:ascii="Times New Roman" w:hAnsi="Times New Roman"/>
          <w:b w:val="0"/>
          <w:i w:val="0"/>
          <w:color w:val="0F172A"/>
          <w:sz w:val="23"/>
        </w:rPr>
        <w:t>To evaluate the system, two distinct benchmark suites are defined:</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Dataset 1 (Dev/Validation Benchmark v1):</w:t>
      </w:r>
      <w:r>
        <w:rPr>
          <w:rFonts w:ascii="Times New Roman" w:hAnsi="Times New Roman"/>
          <w:b w:val="0"/>
          <w:i w:val="0"/>
          <w:color w:val="0F172A"/>
          <w:sz w:val="22"/>
        </w:rPr>
        <w:t xml:space="preserve"> 10 test cases (7 answerable, 3 unanswerable), mapped to Knowledge Base Chunks 1, 2, 5, 6, 8, 10, 14. Used for parameter tuning and threshold calibration.</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Dataset 2 (Frozen Holdout Benchmark v1):</w:t>
      </w:r>
      <w:r>
        <w:rPr>
          <w:rFonts w:ascii="Times New Roman" w:hAnsi="Times New Roman"/>
          <w:b w:val="0"/>
          <w:i w:val="0"/>
          <w:color w:val="0F172A"/>
          <w:sz w:val="22"/>
        </w:rPr>
        <w:t xml:space="preserve"> 10 test cases (7 answerable, 3 unanswerable), mapped to Knowledge Base Chunks 3, 4, 7, 9, 11, 12, 13.</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Strict Holdout Disjointness &amp; Zero Leakage:</w:t>
      </w:r>
    </w:p>
    <w:p>
      <w:pPr>
        <w:spacing w:after="80"/>
        <w:ind w:left="432"/>
      </w:pPr>
      <w:r>
        <w:rPr>
          <w:rFonts w:ascii="Times New Roman" w:hAnsi="Times New Roman"/>
          <w:b/>
          <w:sz w:val="22"/>
        </w:rPr>
        <w:t xml:space="preserve">1.  </w:t>
      </w:r>
      <w:r>
        <w:rPr>
          <w:rFonts w:ascii="Times New Roman" w:hAnsi="Times New Roman"/>
          <w:b w:val="0"/>
          <w:i w:val="0"/>
          <w:color w:val="0F172A"/>
          <w:sz w:val="22"/>
        </w:rPr>
        <w:t>Knowledge base chunk coverage between Dataset 1 and Dataset 2 is strictly disjoint (</w:t>
      </w:r>
      <w:r>
        <w:rPr>
          <w:rFonts w:ascii="Times New Roman" w:hAnsi="Times New Roman"/>
          <w:i/>
          <w:color w:val="0F172A"/>
          <w:sz w:val="22"/>
        </w:rPr>
        <w:t>\1, 2, 5, 6, 8, 10, 14\ ∩ \3, 4, 7, 9, 11, 12, 13\ = ∅</w:t>
      </w:r>
      <w:r>
        <w:rPr>
          <w:rFonts w:ascii="Times New Roman" w:hAnsi="Times New Roman"/>
          <w:b w:val="0"/>
          <w:i w:val="0"/>
          <w:color w:val="0F172A"/>
          <w:sz w:val="22"/>
        </w:rPr>
        <w:t>).</w:t>
      </w:r>
    </w:p>
    <w:p>
      <w:pPr>
        <w:spacing w:after="80"/>
        <w:ind w:left="432"/>
      </w:pPr>
      <w:r>
        <w:rPr>
          <w:rFonts w:ascii="Times New Roman" w:hAnsi="Times New Roman"/>
          <w:b/>
          <w:sz w:val="22"/>
        </w:rPr>
        <w:t xml:space="preserve">2.  </w:t>
      </w:r>
      <w:r>
        <w:rPr>
          <w:rFonts w:ascii="Times New Roman" w:hAnsi="Times New Roman"/>
          <w:b w:val="0"/>
          <w:i w:val="0"/>
          <w:color w:val="0F172A"/>
          <w:sz w:val="22"/>
        </w:rPr>
        <w:t>Dataset 2 was frozen prior to model evaluation (</w:t>
      </w:r>
      <w:r>
        <w:rPr>
          <w:rFonts w:ascii="Consolas" w:hAnsi="Consolas"/>
          <w:color w:val="1E293B"/>
          <w:sz w:val="20"/>
        </w:rPr>
        <w:t>created_at == updated_at == 2026-09-23 04:53:12</w:t>
      </w:r>
      <w:r>
        <w:rPr>
          <w:rFonts w:ascii="Times New Roman" w:hAnsi="Times New Roman"/>
          <w:b w:val="0"/>
          <w:i w:val="0"/>
          <w:color w:val="0F172A"/>
          <w:sz w:val="22"/>
        </w:rPr>
        <w:t>).</w:t>
      </w:r>
    </w:p>
    <w:p>
      <w:pPr>
        <w:spacing w:after="80"/>
        <w:ind w:left="432"/>
      </w:pPr>
      <w:r>
        <w:rPr>
          <w:rFonts w:ascii="Times New Roman" w:hAnsi="Times New Roman"/>
          <w:b/>
          <w:sz w:val="22"/>
        </w:rPr>
        <w:t xml:space="preserve">3.  </w:t>
      </w:r>
      <w:r>
        <w:rPr>
          <w:rFonts w:ascii="Times New Roman" w:hAnsi="Times New Roman"/>
          <w:b w:val="0"/>
          <w:i w:val="0"/>
          <w:color w:val="0F172A"/>
          <w:sz w:val="22"/>
        </w:rPr>
        <w:t xml:space="preserve">Pre-training assertions verified that 0 holdout questions or target answers exist within </w:t>
      </w:r>
      <w:r>
        <w:rPr>
          <w:rFonts w:ascii="Consolas" w:hAnsi="Consolas"/>
          <w:color w:val="1E293B"/>
          <w:sz w:val="20"/>
        </w:rPr>
        <w:t>supportiq_train.jsonl</w:t>
      </w:r>
      <w:r>
        <w:rPr>
          <w:rFonts w:ascii="Times New Roman" w:hAnsi="Times New Roman"/>
          <w:b w:val="0"/>
          <w:i w:val="0"/>
          <w:color w:val="0F172A"/>
          <w:sz w:val="22"/>
        </w:rPr>
        <w:t xml:space="preserve"> or </w:t>
      </w:r>
      <w:r>
        <w:rPr>
          <w:rFonts w:ascii="Consolas" w:hAnsi="Consolas"/>
          <w:color w:val="1E293B"/>
          <w:sz w:val="20"/>
        </w:rPr>
        <w:t>supportiq_val.jsonl</w:t>
      </w:r>
      <w:r>
        <w:rPr>
          <w:rFonts w:ascii="Times New Roman" w:hAnsi="Times New Roman"/>
          <w:b w:val="0"/>
          <w:i w:val="0"/>
          <w:color w:val="0F172A"/>
          <w:sz w:val="22"/>
        </w:rPr>
        <w:t>, guaranteeing 0.0% data leakage.</w:t>
      </w:r>
    </w:p>
    <w:p>
      <w:pPr>
        <w:keepNext/>
        <w:spacing w:before="280" w:after="120"/>
        <w:jc w:val="left"/>
      </w:pPr>
      <w:r>
        <w:rPr>
          <w:rFonts w:ascii="Times New Roman" w:hAnsi="Times New Roman"/>
          <w:b/>
          <w:color w:val="0F172A"/>
          <w:sz w:val="28"/>
        </w:rPr>
        <w:t>7. System Architecture</w:t>
      </w:r>
    </w:p>
    <w:p>
      <w:pPr>
        <w:spacing w:after="120"/>
      </w:pPr>
      <w:r>
        <w:rPr>
          <w:rFonts w:ascii="Times New Roman" w:hAnsi="Times New Roman"/>
          <w:b w:val="0"/>
          <w:i w:val="0"/>
          <w:color w:val="0F172A"/>
          <w:sz w:val="23"/>
        </w:rPr>
        <w:t>Figure 1 illustrates the end-to-end architecture of the SupportIQ framework, showing the data flow from query ingestion to verified answer synthesis.</w:t>
      </w:r>
    </w:p>
    <w:tbl>
      <w:tblPr>
        <w:tblW w:type="auto" w:w="0"/>
        <w:jc w:val="center"/>
        <w:tblLook w:firstColumn="1" w:firstRow="1" w:lastColumn="0" w:lastRow="0" w:noHBand="0" w:noVBand="1" w:val="04A0"/>
      </w:tblPr>
      <w:tblGrid>
        <w:gridCol w:w="9029"/>
      </w:tblGrid>
      <w:tr>
        <w:tc>
          <w:tcPr>
            <w:tcW w:type="dxa" w:w="9029"/>
            <w:shd w:fill="F8FAFC"/>
            <w:tcBorders>
              <w:top w:sz="4" w:val="single" w:color="CBD5E1"/>
              <w:left w:sz="4" w:val="single" w:color="CBD5E1"/>
              <w:bottom w:sz="4" w:val="single" w:color="CBD5E1"/>
              <w:right w:sz="4" w:val="single" w:color="CBD5E1"/>
            </w:tcBorders>
            <w:tcMar>
              <w:top w:w="80" w:type="dxa"/>
              <w:bottom w:w="80" w:type="dxa"/>
              <w:left w:w="100" w:type="dxa"/>
              <w:right w:w="100" w:type="dxa"/>
            </w:tcMar>
          </w:tcPr>
          <w:p>
            <w:pPr>
              <w:spacing w:line="240" w:lineRule="auto" w:after="0"/>
            </w:pPr>
            <w:r>
              <w:rPr>
                <w:rFonts w:ascii="Consolas" w:hAnsi="Consolas"/>
                <w:color w:val="1E293B"/>
                <w:sz w:val="16"/>
              </w:rPr>
              <w:t xml:space="preserve">                                 ┌───────────────────────────────┐</w:t>
              <w:br/>
              <w:t xml:space="preserve">                                 │          User Query           │</w:t>
              <w:br/>
              <w:t xml:space="preserve">                                 └───────────────┬───────────────┘</w:t>
              <w:br/>
              <w:t xml:space="preserve">                                                 │</w:t>
              <w:br/>
              <w:t xml:space="preserve">                                                 ▼</w:t>
              <w:br/>
              <w:t>┌─────────────────────────────────────────────────────────────────────────────────────────────┐</w:t>
              <w:br/>
              <w:t>│ STAGE 1: QUERY PROCESSING &amp; HYBRID CANDIDATE RETRIEVAL                                      │</w:t>
              <w:br/>
              <w:t>│                                                                                             │</w:t>
              <w:br/>
              <w:t>│   Knowledge Base Documents (PDF, DOCX, TXT)                                                 │</w:t>
              <w:br/>
              <w:t>│   ├── Page-Aware Extraction (pypdf, python-docx)                                            │</w:t>
              <w:br/>
              <w:t>│   └── 32-Dimensional Deterministic Hash-Vector Representation                               │</w:t>
              <w:br/>
              <w:t>│                                                                                             │</w:t>
              <w:br/>
              <w:t>│   Parallel Candidate Matching:                                                              │</w:t>
              <w:br/>
              <w:t>│   ├── Lexical Channel: Substantive token overlap score (domain stopwords removed)           │</w:t>
              <w:br/>
              <w:t>│   └── Deterministic Vector Channel: Cosine similarity over 32-dim hash vectors              │</w:t>
              <w:br/>
              <w:t>└──────────────────────────────────────────────┬──────────────────────────────────────────────┘</w:t>
              <w:br/>
              <w:t xml:space="preserve">                                               │</w:t>
              <w:br/>
              <w:t xml:space="preserve">                                               ▼</w:t>
              <w:br/>
              <w:t>┌─────────────────────────────────────────────────────────────────────────────────────────────┐</w:t>
              <w:br/>
              <w:t>│ STAGE 2: RECIPROCAL RANK FUSION (RRF) RE-RANKING                                            │</w:t>
              <w:br/>
              <w:t>│                                                                                             │</w:t>
              <w:br/>
              <w:t>│   Compute independent ranks along Lexical (r_lex) and Vector (r_vec) streams:               │</w:t>
              <w:br/>
              <w:t>│   RRF_Score(c) = [ 0.60 / (60 + r_lex) ] + [ 0.40 / (60 + r_vec) ]                          │</w:t>
              <w:br/>
              <w:t>│   Select Top-K candidates (k = 5)                                                           │</w:t>
              <w:br/>
              <w:t>└──────────────────────────────────────────────┬──────────────────────────────────────────────┘</w:t>
              <w:br/>
              <w:t xml:space="preserve">                                               │</w:t>
              <w:br/>
              <w:t xml:space="preserve">                                               ▼</w:t>
              <w:br/>
              <w:t>┌─────────────────────────────────────────────────────────────────────────────────────────────┐</w:t>
              <w:br/>
              <w:t>│ STAGE 3: ALGORITHMIC EVIDENCE GATE &amp; SAFE ABSTENTION                                        │</w:t>
              <w:br/>
              <w:t>│                                                                                             │</w:t>
              <w:br/>
              <w:t>│   Criteria:                                                                                 │</w:t>
              <w:br/>
              <w:t>│   ├── Top Chunk Composite Similarity Score &gt;= 0.15                                         │</w:t>
              <w:br/>
              <w:t>│   └── Substantive Matched Terms &gt;= 2  OR  Lexical Score &gt;= 0.35                             │</w:t>
              <w:br/>
              <w:t>└──────────────────────┬──────────────────────────────────────────────┬───────────────────────┘</w:t>
              <w:br/>
              <w:t xml:space="preserve">                       │                                              │</w:t>
              <w:br/>
              <w:t xml:space="preserve">             [Evidence Criteria Met]                        [Insufficient Evidence]</w:t>
              <w:br/>
              <w:t xml:space="preserve">                       │                                              │</w:t>
              <w:br/>
              <w:t xml:space="preserve">                       ▼                                              ▼</w:t>
              <w:br/>
              <w:t>┌────────────────────────────────────────────┐ ┌──────────────────────────────────────────────┐</w:t>
              <w:br/>
              <w:t>│ STAGE 4: CONTEXT ASSEMBLY &amp; ADAPTER GEN.   │ │ SAFE ABSTENTION &amp; HUMAN ESCALATION           │</w:t>
              <w:br/>
              <w:t>│                                            │ │                                              │</w:t>
              <w:br/>
              <w:t>│ Top-3 Context Chunk Assembly into ChatML   │ │ Deterministic Refusal Notice:                │</w:t>
              <w:br/>
              <w:t>│ Foundation Model: Qwen/Qwen2.5-0.5B-Inst.  │ │ "No relevant information was found in your   │</w:t>
              <w:br/>
              <w:t>│ Adapter Runtime Options:                   │ │  knowledge base matching this question..."   │</w:t>
              <w:br/>
              <w:t>│ ├── SupportIQ LoRA: FP16 PEFT Adapter      │ │                                              │</w:t>
              <w:br/>
              <w:t>│ ├── SupportIQ QLoRA: 4-bit NF4 Quantized   │ │ Direct Ticketing Escalation via UI Modal     │</w:t>
              <w:br/>
              <w:t>│ └── Base Model: Zero-Shot FP16 Baseline    │ │                                              │</w:t>
              <w:br/>
              <w:t>└──────────────────────┬─────────────────────┘ └──────────────────────────────────────────────┘</w:t>
              <w:br/>
              <w:t xml:space="preserve">                       │</w:t>
              <w:br/>
              <w:t xml:space="preserve">                       ▼</w:t>
              <w:br/>
              <w:t>┌─────────────────────────────────────────────────────────────────────────────────────────────┐</w:t>
              <w:br/>
              <w:t>│ STAGE 5: GROUNDING CHECK &amp; SENTENCE-LEVEL CLAIM VERIFICATION                                │</w:t>
              <w:br/>
              <w:t>│                                                                                             │</w:t>
              <w:br/>
              <w:t>│ 1. Sentence-Level Claim Decomposition: split answer into distinct propositions              │</w:t>
              <w:br/>
              <w:t>│ 2. Substantive Lexical Token Alignment against retrieved context passages                   │</w:t>
              <w:br/>
              <w:t>│ 3. Per-Claim Grounding Check: Claim supported if match score &gt;= 0.12                        │</w:t>
              <w:br/>
              <w:t>│ 4. Continuous Reliability Score Formulation:                                                │</w:t>
              <w:br/>
              <w:t>│    Reliability = (0.7 * Coverage) + (0.3 * Normalized_Evidence_Support)                     │</w:t>
              <w:br/>
              <w:t>└──────────────────────────────────────────────┬──────────────────────────────────────────────┘</w:t>
              <w:br/>
              <w:t xml:space="preserve">                                               │</w:t>
              <w:br/>
              <w:t xml:space="preserve">                                               ▼</w:t>
              <w:br/>
              <w:t>┌─────────────────────────────────────────────────────────────────────────────────────────────┐</w:t>
              <w:br/>
              <w:t>│ STAGE 6: EVIDENCE ATTRIBUTION &amp; PROVENANCE CITATIONS                                        │</w:t>
              <w:br/>
              <w:t>│                                                                                             │</w:t>
              <w:br/>
              <w:t>│   Display verified response with clickable provenance citations:                            │</w:t>
              <w:br/>
              <w:t>│   Document ID → Document Title → Page Number → Chunk ID → Text Excerpt                      │</w:t>
              <w:br/>
              <w:t>└─────────────────────────────────────────────────────────────────────────────────────────────┘</w:t>
            </w:r>
          </w:p>
        </w:tc>
      </w:tr>
    </w:tbl>
    <w:p/>
    <w:p>
      <w:pPr>
        <w:keepNext/>
        <w:spacing w:before="80" w:after="160"/>
        <w:jc w:val="center"/>
      </w:pPr>
      <w:r>
        <w:rPr>
          <w:rFonts w:ascii="Times New Roman" w:hAnsi="Times New Roman"/>
          <w:b w:val="0"/>
          <w:i/>
          <w:color w:val="334155"/>
          <w:sz w:val="20"/>
        </w:rPr>
        <w:t>Fig. 1. End-to-end system architecture of the SupportIQ framework, showing the sequence from user query processing and hybrid retrieval to claim verification and evidence attribution.</w:t>
      </w:r>
    </w:p>
    <w:p>
      <w:pPr>
        <w:spacing w:after="120"/>
      </w:pPr>
      <w:r>
        <w:rPr>
          <w:rFonts w:ascii="Times New Roman" w:hAnsi="Times New Roman"/>
          <w:b w:val="0"/>
          <w:i w:val="0"/>
          <w:color w:val="0F172A"/>
          <w:sz w:val="23"/>
        </w:rPr>
        <w:t>As depicted in Fig. 1, when a user enters a query, candidate chunks are gathered in parallel via lexical matching and 32-dimensional deterministic hash-vector cosine similarity. The ranks are fused via Reciprocal Rank Fusion (</w:t>
      </w:r>
      <w:r>
        <w:rPr>
          <w:rFonts w:ascii="Times New Roman" w:hAnsi="Times New Roman"/>
          <w:i/>
          <w:color w:val="0F172A"/>
          <w:sz w:val="23"/>
        </w:rPr>
        <w:t>k=60</w:t>
      </w:r>
      <w:r>
        <w:rPr>
          <w:rFonts w:ascii="Times New Roman" w:hAnsi="Times New Roman"/>
          <w:b w:val="0"/>
          <w:i w:val="0"/>
          <w:color w:val="0F172A"/>
          <w:sz w:val="23"/>
        </w:rPr>
        <w:t>), and candidates are evaluated against an algorithmic evidence gate. If evidence criteria are met, the top context is assembled into a ChatML prompt for neural generation; otherwise, a safe refusal is immediately triggered. Following generation, individual claim sentences are verified against source chunks to compute a continuous reliability score and attach clickable citations.</w:t>
      </w:r>
    </w:p>
    <w:p>
      <w:pPr>
        <w:keepNext/>
        <w:spacing w:before="280" w:after="120"/>
        <w:jc w:val="left"/>
      </w:pPr>
      <w:r>
        <w:rPr>
          <w:rFonts w:ascii="Times New Roman" w:hAnsi="Times New Roman"/>
          <w:b/>
          <w:color w:val="0F172A"/>
          <w:sz w:val="28"/>
        </w:rPr>
        <w:t>8. Retrieval and Reciprocal Rank Fusion</w:t>
      </w:r>
    </w:p>
    <w:p>
      <w:pPr>
        <w:keepNext/>
        <w:spacing w:before="200" w:after="80"/>
        <w:jc w:val="left"/>
      </w:pPr>
      <w:r>
        <w:rPr>
          <w:rFonts w:ascii="Times New Roman" w:hAnsi="Times New Roman"/>
          <w:b/>
          <w:color w:val="1E293B"/>
          <w:sz w:val="25"/>
        </w:rPr>
        <w:t>8.1 Lexical Scoring and Stopword Filtering</w:t>
      </w:r>
    </w:p>
    <w:p>
      <w:pPr>
        <w:spacing w:after="120"/>
      </w:pPr>
      <w:r>
        <w:rPr>
          <w:rFonts w:ascii="Times New Roman" w:hAnsi="Times New Roman"/>
          <w:b w:val="0"/>
          <w:i w:val="0"/>
          <w:color w:val="0F172A"/>
          <w:sz w:val="23"/>
        </w:rPr>
        <w:t>The lexical retrieval channel tokenizes input strings using regular expressions (</w:t>
      </w:r>
      <w:r>
        <w:rPr>
          <w:rFonts w:ascii="Consolas" w:hAnsi="Consolas"/>
          <w:color w:val="1E293B"/>
          <w:sz w:val="21"/>
        </w:rPr>
        <w:t>[a-z0-9]+</w:t>
      </w:r>
      <w:r>
        <w:rPr>
          <w:rFonts w:ascii="Times New Roman" w:hAnsi="Times New Roman"/>
          <w:b w:val="0"/>
          <w:i w:val="0"/>
          <w:color w:val="0F172A"/>
          <w:sz w:val="23"/>
        </w:rPr>
        <w:t xml:space="preserve"> with length </w:t>
      </w:r>
      <w:r>
        <w:rPr>
          <w:rFonts w:ascii="Times New Roman" w:hAnsi="Times New Roman"/>
          <w:i/>
          <w:color w:val="0F172A"/>
          <w:sz w:val="23"/>
        </w:rPr>
        <w:t>&gt;2</w:t>
      </w:r>
      <w:r>
        <w:rPr>
          <w:rFonts w:ascii="Times New Roman" w:hAnsi="Times New Roman"/>
          <w:b w:val="0"/>
          <w:i w:val="0"/>
          <w:color w:val="0F172A"/>
          <w:sz w:val="23"/>
        </w:rPr>
        <w:t>). Tokens are filtered against two distinct stopword dictionaries:</w:t>
      </w:r>
    </w:p>
    <w:p>
      <w:pPr>
        <w:spacing w:after="80"/>
        <w:ind w:left="432"/>
      </w:pPr>
      <w:r>
        <w:rPr>
          <w:rFonts w:ascii="Times New Roman" w:hAnsi="Times New Roman"/>
          <w:b/>
          <w:sz w:val="22"/>
        </w:rPr>
        <w:t xml:space="preserve">1.  </w:t>
      </w:r>
      <w:r>
        <w:rPr>
          <w:rFonts w:ascii="Times New Roman" w:hAnsi="Times New Roman"/>
          <w:b w:val="0"/>
          <w:i w:val="0"/>
          <w:color w:val="0F172A"/>
          <w:sz w:val="22"/>
        </w:rPr>
        <w:t>Standard English stopwords (</w:t>
      </w:r>
      <w:r>
        <w:rPr>
          <w:rFonts w:ascii="Consolas" w:hAnsi="Consolas"/>
          <w:color w:val="1E293B"/>
          <w:sz w:val="20"/>
        </w:rPr>
        <w:t>STOPWORDS</w:t>
      </w:r>
      <w:r>
        <w:rPr>
          <w:rFonts w:ascii="Times New Roman" w:hAnsi="Times New Roman"/>
          <w:b w:val="0"/>
          <w:i w:val="0"/>
          <w:color w:val="0F172A"/>
          <w:sz w:val="22"/>
        </w:rPr>
        <w:t>, 128 terms).</w:t>
      </w:r>
    </w:p>
    <w:p>
      <w:pPr>
        <w:spacing w:after="80"/>
        <w:ind w:left="432"/>
      </w:pPr>
      <w:r>
        <w:rPr>
          <w:rFonts w:ascii="Times New Roman" w:hAnsi="Times New Roman"/>
          <w:b/>
          <w:sz w:val="22"/>
        </w:rPr>
        <w:t xml:space="preserve">2.  </w:t>
      </w:r>
      <w:r>
        <w:rPr>
          <w:rFonts w:ascii="Times New Roman" w:hAnsi="Times New Roman"/>
          <w:b w:val="0"/>
          <w:i w:val="0"/>
          <w:color w:val="0F172A"/>
          <w:sz w:val="22"/>
        </w:rPr>
        <w:t>Domain-specific stopwords (</w:t>
      </w:r>
      <w:r>
        <w:rPr>
          <w:rFonts w:ascii="Consolas" w:hAnsi="Consolas"/>
          <w:color w:val="1E293B"/>
          <w:sz w:val="20"/>
        </w:rPr>
        <w:t>DOMAIN_STOPWORDS</w:t>
      </w:r>
      <w:r>
        <w:rPr>
          <w:rFonts w:ascii="Times New Roman" w:hAnsi="Times New Roman"/>
          <w:b w:val="0"/>
          <w:i w:val="0"/>
          <w:color w:val="0F172A"/>
          <w:sz w:val="22"/>
        </w:rPr>
        <w:t xml:space="preserve">: </w:t>
      </w:r>
      <w:r>
        <w:rPr>
          <w:rFonts w:ascii="Consolas" w:hAnsi="Consolas"/>
          <w:color w:val="1E293B"/>
          <w:sz w:val="20"/>
        </w:rPr>
        <w:t>{"supportiq", "policy", "policies", "help", "support", "information", "question", "guide", "documentation", "details", "service", "customer", "customers", "user", "users", "client", "clients", "company"}</w:t>
      </w:r>
      <w:r>
        <w:rPr>
          <w:rFonts w:ascii="Times New Roman" w:hAnsi="Times New Roman"/>
          <w:b w:val="0"/>
          <w:i w:val="0"/>
          <w:color w:val="0F172A"/>
          <w:sz w:val="22"/>
        </w:rPr>
        <w:t>).</w:t>
      </w:r>
    </w:p>
    <w:p>
      <w:pPr>
        <w:spacing w:after="120"/>
      </w:pPr>
      <w:r>
        <w:rPr>
          <w:rFonts w:ascii="Times New Roman" w:hAnsi="Times New Roman"/>
          <w:b w:val="0"/>
          <w:i w:val="0"/>
          <w:color w:val="0F172A"/>
          <w:sz w:val="23"/>
        </w:rPr>
        <w:t xml:space="preserve">The lexical overlap score between query </w:t>
      </w:r>
      <w:r>
        <w:rPr>
          <w:rFonts w:ascii="Times New Roman" w:hAnsi="Times New Roman"/>
          <w:i/>
          <w:color w:val="0F172A"/>
          <w:sz w:val="23"/>
        </w:rPr>
        <w:t>Q</w:t>
      </w:r>
      <w:r>
        <w:rPr>
          <w:rFonts w:ascii="Times New Roman" w:hAnsi="Times New Roman"/>
          <w:b w:val="0"/>
          <w:i w:val="0"/>
          <w:color w:val="0F172A"/>
          <w:sz w:val="23"/>
        </w:rPr>
        <w:t xml:space="preserve"> and candidate chunk </w:t>
      </w:r>
      <w:r>
        <w:rPr>
          <w:rFonts w:ascii="Times New Roman" w:hAnsi="Times New Roman"/>
          <w:i/>
          <w:color w:val="0F172A"/>
          <w:sz w:val="23"/>
        </w:rPr>
        <w:t>C</w:t>
      </w:r>
      <w:r>
        <w:rPr>
          <w:rFonts w:ascii="Times New Roman" w:hAnsi="Times New Roman"/>
          <w:b w:val="0"/>
          <w:i w:val="0"/>
          <w:color w:val="0F172A"/>
          <w:sz w:val="23"/>
        </w:rPr>
        <w:t xml:space="preserve"> is formulated as:</w:t>
      </w:r>
    </w:p>
    <w:p>
      <w:pPr>
        <w:spacing w:before="120" w:after="120"/>
        <w:jc w:val="center"/>
      </w:pPr>
      <w:r>
        <w:rPr>
          <w:rFonts w:ascii="Times New Roman" w:hAnsi="Times New Roman"/>
          <w:i/>
          <w:color w:val="1E293B"/>
          <w:sz w:val="22"/>
        </w:rPr>
        <w:t>LexicalScore(Q, C) = (|Q_substantive ∩ C_tokens|) / (|Q_substantive)|</w:t>
      </w:r>
    </w:p>
    <w:p>
      <w:pPr>
        <w:spacing w:after="120"/>
      </w:pPr>
      <w:r>
        <w:rPr>
          <w:rFonts w:ascii="Times New Roman" w:hAnsi="Times New Roman"/>
          <w:b w:val="0"/>
          <w:i w:val="0"/>
          <w:color w:val="0F172A"/>
          <w:sz w:val="23"/>
        </w:rPr>
        <w:t xml:space="preserve">where </w:t>
      </w:r>
      <w:r>
        <w:rPr>
          <w:rFonts w:ascii="Times New Roman" w:hAnsi="Times New Roman"/>
          <w:i/>
          <w:color w:val="0F172A"/>
          <w:sz w:val="23"/>
        </w:rPr>
        <w:t>Q_substantive</w:t>
      </w:r>
      <w:r>
        <w:rPr>
          <w:rFonts w:ascii="Times New Roman" w:hAnsi="Times New Roman"/>
          <w:b w:val="0"/>
          <w:i w:val="0"/>
          <w:color w:val="0F172A"/>
          <w:sz w:val="23"/>
        </w:rPr>
        <w:t xml:space="preserve"> represents query tokens excluding domain and standard stopwords.</w:t>
      </w:r>
    </w:p>
    <w:p>
      <w:pPr>
        <w:keepNext/>
        <w:spacing w:before="200" w:after="80"/>
        <w:jc w:val="left"/>
      </w:pPr>
      <w:r>
        <w:rPr>
          <w:rFonts w:ascii="Times New Roman" w:hAnsi="Times New Roman"/>
          <w:b/>
          <w:color w:val="1E293B"/>
          <w:sz w:val="25"/>
        </w:rPr>
        <w:t>8.2 32-Dimensional Deterministic Hash-Vector Representation</w:t>
      </w:r>
    </w:p>
    <w:p>
      <w:pPr>
        <w:spacing w:after="120"/>
      </w:pPr>
      <w:r>
        <w:rPr>
          <w:rFonts w:ascii="Times New Roman" w:hAnsi="Times New Roman"/>
          <w:b w:val="0"/>
          <w:i w:val="0"/>
          <w:color w:val="0F172A"/>
          <w:sz w:val="23"/>
        </w:rPr>
        <w:t xml:space="preserve">To provide vector-based candidate matching without incurring the latency and memory overhead of dense neural transformer models, SupportIQ implements a deterministic token/hash vector space. Each token </w:t>
      </w:r>
      <w:r>
        <w:rPr>
          <w:rFonts w:ascii="Times New Roman" w:hAnsi="Times New Roman"/>
          <w:i/>
          <w:color w:val="0F172A"/>
          <w:sz w:val="23"/>
        </w:rPr>
        <w:t>t</w:t>
      </w:r>
      <w:r>
        <w:rPr>
          <w:rFonts w:ascii="Times New Roman" w:hAnsi="Times New Roman"/>
          <w:b w:val="0"/>
          <w:i w:val="0"/>
          <w:color w:val="0F172A"/>
          <w:sz w:val="23"/>
        </w:rPr>
        <w:t xml:space="preserve"> is mapped into a 32-dimensional bucket space using SHA-1 hashing:</w:t>
      </w:r>
    </w:p>
    <w:p>
      <w:pPr>
        <w:spacing w:before="120" w:after="120"/>
        <w:jc w:val="center"/>
      </w:pPr>
      <w:r>
        <w:rPr>
          <w:rFonts w:ascii="Times New Roman" w:hAnsi="Times New Roman"/>
          <w:i/>
          <w:color w:val="1E293B"/>
          <w:sz w:val="22"/>
        </w:rPr>
        <w:t>Index(t) = int.from_bytes(SHA1(t)[:4], 'big') mod32</w:t>
      </w:r>
    </w:p>
    <w:p>
      <w:pPr>
        <w:spacing w:after="120"/>
      </w:pPr>
      <w:r>
        <w:rPr>
          <w:rFonts w:ascii="Times New Roman" w:hAnsi="Times New Roman"/>
          <w:b w:val="0"/>
          <w:i w:val="0"/>
          <w:color w:val="0F172A"/>
          <w:sz w:val="23"/>
        </w:rPr>
        <w:t xml:space="preserve">The document chunk vector </w:t>
      </w:r>
      <w:r>
        <w:rPr>
          <w:rFonts w:ascii="Times New Roman" w:hAnsi="Times New Roman"/>
          <w:i/>
          <w:color w:val="0F172A"/>
          <w:sz w:val="23"/>
        </w:rPr>
        <w:t>\vecC ∈ R^32</w:t>
      </w:r>
      <w:r>
        <w:rPr>
          <w:rFonts w:ascii="Times New Roman" w:hAnsi="Times New Roman"/>
          <w:b w:val="0"/>
          <w:i w:val="0"/>
          <w:color w:val="0F172A"/>
          <w:sz w:val="23"/>
        </w:rPr>
        <w:t xml:space="preserve"> accumulates token occurrences:</w:t>
      </w:r>
    </w:p>
    <w:p>
      <w:pPr>
        <w:spacing w:before="120" w:after="120"/>
        <w:jc w:val="center"/>
      </w:pPr>
      <w:r>
        <w:rPr>
          <w:rFonts w:ascii="Times New Roman" w:hAnsi="Times New Roman"/>
          <w:i/>
          <w:color w:val="1E293B"/>
          <w:sz w:val="22"/>
        </w:rPr>
        <w:t>C[i] = ∑_t \in C_tokens I(Index(t) = i)</w:t>
      </w:r>
    </w:p>
    <w:p>
      <w:pPr>
        <w:spacing w:after="120"/>
      </w:pPr>
      <w:r>
        <w:rPr>
          <w:rFonts w:ascii="Times New Roman" w:hAnsi="Times New Roman"/>
          <w:b w:val="0"/>
          <w:i w:val="0"/>
          <w:color w:val="0F172A"/>
          <w:sz w:val="23"/>
        </w:rPr>
        <w:t xml:space="preserve">The similarity between query vector </w:t>
      </w:r>
      <w:r>
        <w:rPr>
          <w:rFonts w:ascii="Times New Roman" w:hAnsi="Times New Roman"/>
          <w:i/>
          <w:color w:val="0F172A"/>
          <w:sz w:val="23"/>
        </w:rPr>
        <w:t>\vecQ</w:t>
      </w:r>
      <w:r>
        <w:rPr>
          <w:rFonts w:ascii="Times New Roman" w:hAnsi="Times New Roman"/>
          <w:b w:val="0"/>
          <w:i w:val="0"/>
          <w:color w:val="0F172A"/>
          <w:sz w:val="23"/>
        </w:rPr>
        <w:t xml:space="preserve"> and chunk vector </w:t>
      </w:r>
      <w:r>
        <w:rPr>
          <w:rFonts w:ascii="Times New Roman" w:hAnsi="Times New Roman"/>
          <w:i/>
          <w:color w:val="0F172A"/>
          <w:sz w:val="23"/>
        </w:rPr>
        <w:t>\vecC</w:t>
      </w:r>
      <w:r>
        <w:rPr>
          <w:rFonts w:ascii="Times New Roman" w:hAnsi="Times New Roman"/>
          <w:b w:val="0"/>
          <w:i w:val="0"/>
          <w:color w:val="0F172A"/>
          <w:sz w:val="23"/>
        </w:rPr>
        <w:t xml:space="preserve"> is computed via Cosine Similarity:</w:t>
      </w:r>
    </w:p>
    <w:p>
      <w:pPr>
        <w:spacing w:before="120" w:after="120"/>
        <w:jc w:val="center"/>
      </w:pPr>
      <w:r>
        <w:rPr>
          <w:rFonts w:ascii="Times New Roman" w:hAnsi="Times New Roman"/>
          <w:i/>
          <w:color w:val="1E293B"/>
          <w:sz w:val="22"/>
        </w:rPr>
        <w:t>CosineSim(Q, C) = (∑_i=1^32 Q_i C_i) / (√∑_i=1)^32 Q_i^2 √∑_i=1^32 C_i^2</w:t>
      </w:r>
    </w:p>
    <w:tbl>
      <w:tblPr>
        <w:tblW w:type="auto" w:w="0"/>
        <w:jc w:val="center"/>
        <w:tblLook w:firstColumn="1" w:firstRow="1" w:lastColumn="0" w:lastRow="0" w:noHBand="0" w:noVBand="1" w:val="04A0"/>
      </w:tblPr>
      <w:tblGrid>
        <w:gridCol w:w="9029"/>
      </w:tblGrid>
      <w:tr>
        <w:tc>
          <w:tcPr>
            <w:tcW w:type="dxa" w:w="9029"/>
            <w:shd w:fill="F1F5F9"/>
            <w:tcBorders>
              <w:left w:sz="24" w:val="single" w:color="1E3A8A"/>
            </w:tcBorders>
            <w:tcMar>
              <w:top w:w="80" w:type="dxa"/>
              <w:bottom w:w="80" w:type="dxa"/>
              <w:left w:w="140" w:type="dxa"/>
              <w:right w:w="100" w:type="dxa"/>
            </w:tcMar>
          </w:tcPr>
          <w:p>
            <w:pPr>
              <w:spacing w:after="0"/>
            </w:pPr>
            <w:r>
              <w:rPr>
                <w:rFonts w:ascii="Times New Roman" w:hAnsi="Times New Roman"/>
                <w:b/>
                <w:i w:val="0"/>
                <w:color w:val="0F172A"/>
                <w:sz w:val="21"/>
              </w:rPr>
              <w:t>Technical Disclosure:</w:t>
            </w:r>
            <w:r>
              <w:rPr>
                <w:rFonts w:ascii="Times New Roman" w:hAnsi="Times New Roman"/>
                <w:b w:val="0"/>
                <w:i w:val="0"/>
                <w:color w:val="0F172A"/>
                <w:sz w:val="21"/>
              </w:rPr>
              <w:t xml:space="preserve"> This representation is strictly a </w:t>
            </w:r>
            <w:r>
              <w:rPr>
                <w:rFonts w:ascii="Times New Roman" w:hAnsi="Times New Roman"/>
                <w:b/>
                <w:i w:val="0"/>
                <w:color w:val="0F172A"/>
                <w:sz w:val="21"/>
              </w:rPr>
              <w:t>32-dimensional deterministic hash-vector representation</w:t>
            </w:r>
            <w:r>
              <w:rPr>
                <w:rFonts w:ascii="Times New Roman" w:hAnsi="Times New Roman"/>
                <w:b w:val="0"/>
                <w:i w:val="0"/>
                <w:color w:val="0F172A"/>
                <w:sz w:val="21"/>
              </w:rPr>
              <w:t>. It is not a learned neural embedding model (such as BERT or Sentence-Transformers).</w:t>
            </w:r>
          </w:p>
        </w:tc>
      </w:tr>
    </w:tbl>
    <w:p/>
    <w:p>
      <w:pPr>
        <w:keepNext/>
        <w:spacing w:before="200" w:after="80"/>
        <w:jc w:val="left"/>
      </w:pPr>
      <w:r>
        <w:rPr>
          <w:rFonts w:ascii="Times New Roman" w:hAnsi="Times New Roman"/>
          <w:b/>
          <w:color w:val="1E293B"/>
          <w:sz w:val="25"/>
        </w:rPr>
        <w:t>8.3 Reciprocal Rank Fusion (RRF)</w:t>
      </w:r>
    </w:p>
    <w:p>
      <w:pPr>
        <w:spacing w:after="120"/>
      </w:pPr>
      <w:r>
        <w:rPr>
          <w:rFonts w:ascii="Times New Roman" w:hAnsi="Times New Roman"/>
          <w:b w:val="0"/>
          <w:i w:val="0"/>
          <w:color w:val="0F172A"/>
          <w:sz w:val="23"/>
        </w:rPr>
        <w:t xml:space="preserve">Candidates from the lexical and vector channels are ranked independently to determine their ordinal positions </w:t>
      </w:r>
      <w:r>
        <w:rPr>
          <w:rFonts w:ascii="Times New Roman" w:hAnsi="Times New Roman"/>
          <w:i/>
          <w:color w:val="0F172A"/>
          <w:sz w:val="23"/>
        </w:rPr>
        <w:t>r_lex(c)</w:t>
      </w:r>
      <w:r>
        <w:rPr>
          <w:rFonts w:ascii="Times New Roman" w:hAnsi="Times New Roman"/>
          <w:b w:val="0"/>
          <w:i w:val="0"/>
          <w:color w:val="0F172A"/>
          <w:sz w:val="23"/>
        </w:rPr>
        <w:t xml:space="preserve"> and </w:t>
      </w:r>
      <w:r>
        <w:rPr>
          <w:rFonts w:ascii="Times New Roman" w:hAnsi="Times New Roman"/>
          <w:i/>
          <w:color w:val="0F172A"/>
          <w:sz w:val="23"/>
        </w:rPr>
        <w:t>r_vec(c)</w:t>
      </w:r>
      <w:r>
        <w:rPr>
          <w:rFonts w:ascii="Times New Roman" w:hAnsi="Times New Roman"/>
          <w:b w:val="0"/>
          <w:i w:val="0"/>
          <w:color w:val="0F172A"/>
          <w:sz w:val="23"/>
        </w:rPr>
        <w:t xml:space="preserve">. Non-linear Reciprocal Rank Fusion is computed with a smoothing constant </w:t>
      </w:r>
      <w:r>
        <w:rPr>
          <w:rFonts w:ascii="Times New Roman" w:hAnsi="Times New Roman"/>
          <w:i/>
          <w:color w:val="0F172A"/>
          <w:sz w:val="23"/>
        </w:rPr>
        <w:t>k=60</w:t>
      </w:r>
      <w:r>
        <w:rPr>
          <w:rFonts w:ascii="Times New Roman" w:hAnsi="Times New Roman"/>
          <w:b w:val="0"/>
          <w:i w:val="0"/>
          <w:color w:val="0F172A"/>
          <w:sz w:val="23"/>
        </w:rPr>
        <w:t>:</w:t>
      </w:r>
    </w:p>
    <w:p>
      <w:pPr>
        <w:spacing w:before="120" w:after="120"/>
        <w:jc w:val="center"/>
      </w:pPr>
      <w:r>
        <w:rPr>
          <w:rFonts w:ascii="Times New Roman" w:hAnsi="Times New Roman"/>
          <w:i/>
          <w:color w:val="1E293B"/>
          <w:sz w:val="22"/>
        </w:rPr>
        <w:t>RRF_Score(c) = (0.60) / (60 + r_lex)(c) + (0.40) / (60 + r_vec)(c)</w:t>
      </w:r>
    </w:p>
    <w:p>
      <w:pPr>
        <w:spacing w:after="120"/>
      </w:pPr>
      <w:r>
        <w:rPr>
          <w:rFonts w:ascii="Times New Roman" w:hAnsi="Times New Roman"/>
          <w:b w:val="0"/>
          <w:i w:val="0"/>
          <w:color w:val="0F172A"/>
          <w:sz w:val="23"/>
        </w:rPr>
        <w:t xml:space="preserve">Candidates are ordered by </w:t>
      </w:r>
      <w:r>
        <w:rPr>
          <w:rFonts w:ascii="Times New Roman" w:hAnsi="Times New Roman"/>
          <w:i/>
          <w:color w:val="0F172A"/>
          <w:sz w:val="23"/>
        </w:rPr>
        <w:t>RRF\_Score(c)</w:t>
      </w:r>
      <w:r>
        <w:rPr>
          <w:rFonts w:ascii="Times New Roman" w:hAnsi="Times New Roman"/>
          <w:b w:val="0"/>
          <w:i w:val="0"/>
          <w:color w:val="0F172A"/>
          <w:sz w:val="23"/>
        </w:rPr>
        <w:t>, breaking ties using the composite similarity score:</w:t>
      </w:r>
    </w:p>
    <w:p>
      <w:pPr>
        <w:spacing w:before="120" w:after="120"/>
        <w:jc w:val="center"/>
      </w:pPr>
      <w:r>
        <w:rPr>
          <w:rFonts w:ascii="Times New Roman" w:hAnsi="Times New Roman"/>
          <w:i/>
          <w:color w:val="1E293B"/>
          <w:sz w:val="22"/>
        </w:rPr>
        <w:t>Sim(c) = 0.65 × LexicalScore(c) + 0.35 × CosineSim(c)</w:t>
      </w:r>
    </w:p>
    <w:p>
      <w:pPr>
        <w:spacing w:after="120"/>
      </w:pPr>
      <w:r>
        <w:rPr>
          <w:rFonts w:ascii="Times New Roman" w:hAnsi="Times New Roman"/>
          <w:b w:val="0"/>
          <w:i w:val="0"/>
          <w:color w:val="0F172A"/>
          <w:sz w:val="23"/>
        </w:rPr>
        <w:t>The top 5 candidates are forwarded to the evidence gate.</w:t>
      </w:r>
    </w:p>
    <w:p>
      <w:pPr>
        <w:keepNext/>
        <w:spacing w:before="280" w:after="120"/>
        <w:jc w:val="left"/>
      </w:pPr>
      <w:r>
        <w:rPr>
          <w:rFonts w:ascii="Times New Roman" w:hAnsi="Times New Roman"/>
          <w:b/>
          <w:color w:val="0F172A"/>
          <w:sz w:val="28"/>
        </w:rPr>
        <w:t>9. LoRA and QLoRA Fine-Tuning</w:t>
      </w:r>
    </w:p>
    <w:p>
      <w:pPr>
        <w:keepNext/>
        <w:spacing w:before="200" w:after="80"/>
        <w:jc w:val="left"/>
      </w:pPr>
      <w:r>
        <w:rPr>
          <w:rFonts w:ascii="Times New Roman" w:hAnsi="Times New Roman"/>
          <w:b/>
          <w:color w:val="1E293B"/>
          <w:sz w:val="25"/>
        </w:rPr>
        <w:t>9.1 Base Model Selection</w:t>
      </w:r>
    </w:p>
    <w:p>
      <w:pPr>
        <w:spacing w:after="120"/>
      </w:pPr>
      <w:r>
        <w:rPr>
          <w:rFonts w:ascii="Times New Roman" w:hAnsi="Times New Roman"/>
          <w:b w:val="0"/>
          <w:i w:val="0"/>
          <w:color w:val="0F172A"/>
          <w:sz w:val="23"/>
        </w:rPr>
        <w:t xml:space="preserve">We select </w:t>
      </w:r>
      <w:r>
        <w:rPr>
          <w:rFonts w:ascii="Consolas" w:hAnsi="Consolas"/>
          <w:color w:val="1E293B"/>
          <w:sz w:val="21"/>
        </w:rPr>
        <w:t>Qwen/Qwen2.5-0.5B-Instruct</w:t>
      </w:r>
      <w:r>
        <w:rPr>
          <w:rFonts w:ascii="Times New Roman" w:hAnsi="Times New Roman"/>
          <w:b w:val="0"/>
          <w:i w:val="0"/>
          <w:color w:val="0F172A"/>
          <w:sz w:val="23"/>
        </w:rPr>
        <w:t xml:space="preserve"> as the base foundation model [6]. The model possesses 494,573,440 total parameters across 24 transformer layers, with hidden dimension 896 and 14 attention heads.</w:t>
      </w:r>
    </w:p>
    <w:p>
      <w:pPr>
        <w:keepNext/>
        <w:spacing w:before="200" w:after="80"/>
        <w:jc w:val="left"/>
      </w:pPr>
      <w:r>
        <w:rPr>
          <w:rFonts w:ascii="Times New Roman" w:hAnsi="Times New Roman"/>
          <w:b/>
          <w:color w:val="1E293B"/>
          <w:sz w:val="25"/>
        </w:rPr>
        <w:t>9.2 LoRA Implementation (FP16)</w:t>
      </w:r>
    </w:p>
    <w:p>
      <w:pPr>
        <w:spacing w:after="120"/>
      </w:pPr>
      <w:r>
        <w:rPr>
          <w:rFonts w:ascii="Times New Roman" w:hAnsi="Times New Roman"/>
          <w:b w:val="0"/>
          <w:i w:val="0"/>
          <w:color w:val="0F172A"/>
          <w:sz w:val="23"/>
        </w:rPr>
        <w:t xml:space="preserve">Full fine-tuning of all 494.6M parameters would require gradient, optimizer, and activation memory exceeding consumer laptop GPU limits. LoRA [2] freezes the pre-trained weight matrix </w:t>
      </w:r>
      <w:r>
        <w:rPr>
          <w:rFonts w:ascii="Times New Roman" w:hAnsi="Times New Roman"/>
          <w:i/>
          <w:color w:val="0F172A"/>
          <w:sz w:val="23"/>
        </w:rPr>
        <w:t>W_0 ∈ R^d × k</w:t>
      </w:r>
      <w:r>
        <w:rPr>
          <w:rFonts w:ascii="Times New Roman" w:hAnsi="Times New Roman"/>
          <w:b w:val="0"/>
          <w:i w:val="0"/>
          <w:color w:val="0F172A"/>
          <w:sz w:val="23"/>
        </w:rPr>
        <w:t xml:space="preserve"> and constrains parameter updates by representing the delta matrix as a low-rank decomposition:</w:t>
      </w:r>
    </w:p>
    <w:p>
      <w:pPr>
        <w:spacing w:before="120" w:after="120"/>
        <w:jc w:val="center"/>
      </w:pPr>
      <w:r>
        <w:rPr>
          <w:rFonts w:ascii="Times New Roman" w:hAnsi="Times New Roman"/>
          <w:i/>
          <w:color w:val="1E293B"/>
          <w:sz w:val="22"/>
        </w:rPr>
        <w:t>W = W_0 + Δ W = W_0 + (α) / (r) B A</w:t>
      </w:r>
    </w:p>
    <w:p>
      <w:pPr>
        <w:spacing w:after="120"/>
      </w:pPr>
      <w:r>
        <w:rPr>
          <w:rFonts w:ascii="Times New Roman" w:hAnsi="Times New Roman"/>
          <w:b w:val="0"/>
          <w:i w:val="0"/>
          <w:color w:val="0F172A"/>
          <w:sz w:val="23"/>
        </w:rPr>
        <w:t xml:space="preserve">where </w:t>
      </w:r>
      <w:r>
        <w:rPr>
          <w:rFonts w:ascii="Times New Roman" w:hAnsi="Times New Roman"/>
          <w:i/>
          <w:color w:val="0F172A"/>
          <w:sz w:val="23"/>
        </w:rPr>
        <w:t>B ∈ R^d × r</w:t>
      </w:r>
      <w:r>
        <w:rPr>
          <w:rFonts w:ascii="Times New Roman" w:hAnsi="Times New Roman"/>
          <w:b w:val="0"/>
          <w:i w:val="0"/>
          <w:color w:val="0F172A"/>
          <w:sz w:val="23"/>
        </w:rPr>
        <w:t xml:space="preserve"> and </w:t>
      </w:r>
      <w:r>
        <w:rPr>
          <w:rFonts w:ascii="Times New Roman" w:hAnsi="Times New Roman"/>
          <w:i/>
          <w:color w:val="0F172A"/>
          <w:sz w:val="23"/>
        </w:rPr>
        <w:t>A ∈ R^r × k</w:t>
      </w:r>
      <w:r>
        <w:rPr>
          <w:rFonts w:ascii="Times New Roman" w:hAnsi="Times New Roman"/>
          <w:b w:val="0"/>
          <w:i w:val="0"/>
          <w:color w:val="0F172A"/>
          <w:sz w:val="23"/>
        </w:rPr>
        <w:t xml:space="preserve">, with rank </w:t>
      </w:r>
      <w:r>
        <w:rPr>
          <w:rFonts w:ascii="Times New Roman" w:hAnsi="Times New Roman"/>
          <w:i/>
          <w:color w:val="0F172A"/>
          <w:sz w:val="23"/>
        </w:rPr>
        <w:t>r=8</w:t>
      </w:r>
      <w:r>
        <w:rPr>
          <w:rFonts w:ascii="Times New Roman" w:hAnsi="Times New Roman"/>
          <w:b w:val="0"/>
          <w:i w:val="0"/>
          <w:color w:val="0F172A"/>
          <w:sz w:val="23"/>
        </w:rPr>
        <w:t xml:space="preserve">, scaling factor </w:t>
      </w:r>
      <w:r>
        <w:rPr>
          <w:rFonts w:ascii="Times New Roman" w:hAnsi="Times New Roman"/>
          <w:i/>
          <w:color w:val="0F172A"/>
          <w:sz w:val="23"/>
        </w:rPr>
        <w:t>α=16</w:t>
      </w:r>
      <w:r>
        <w:rPr>
          <w:rFonts w:ascii="Times New Roman" w:hAnsi="Times New Roman"/>
          <w:b w:val="0"/>
          <w:i w:val="0"/>
          <w:color w:val="0F172A"/>
          <w:sz w:val="23"/>
        </w:rPr>
        <w:t xml:space="preserve">, and dropout </w:t>
      </w:r>
      <w:r>
        <w:rPr>
          <w:rFonts w:ascii="Times New Roman" w:hAnsi="Times New Roman"/>
          <w:i/>
          <w:color w:val="0F172A"/>
          <w:sz w:val="23"/>
        </w:rPr>
        <w:t>0.05</w:t>
      </w:r>
      <w:r>
        <w:rPr>
          <w:rFonts w:ascii="Times New Roman" w:hAnsi="Times New Roman"/>
          <w:b w:val="0"/>
          <w:i w:val="0"/>
          <w:color w:val="0F172A"/>
          <w:sz w:val="23"/>
        </w:rPr>
        <w: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Target Modules:</w:t>
      </w:r>
      <w:r>
        <w:rPr>
          <w:rFonts w:ascii="Times New Roman" w:hAnsi="Times New Roman"/>
          <w:b w:val="0"/>
          <w:i w:val="0"/>
          <w:color w:val="0F172A"/>
          <w:sz w:val="22"/>
        </w:rPr>
        <w:t xml:space="preserve"> Query projection (</w:t>
      </w:r>
      <w:r>
        <w:rPr>
          <w:rFonts w:ascii="Consolas" w:hAnsi="Consolas"/>
          <w:color w:val="1E293B"/>
          <w:sz w:val="20"/>
        </w:rPr>
        <w:t>q_proj</w:t>
      </w:r>
      <w:r>
        <w:rPr>
          <w:rFonts w:ascii="Times New Roman" w:hAnsi="Times New Roman"/>
          <w:b w:val="0"/>
          <w:i w:val="0"/>
          <w:color w:val="0F172A"/>
          <w:sz w:val="22"/>
        </w:rPr>
        <w:t>) and Value projection (</w:t>
      </w:r>
      <w:r>
        <w:rPr>
          <w:rFonts w:ascii="Consolas" w:hAnsi="Consolas"/>
          <w:color w:val="1E293B"/>
          <w:sz w:val="20"/>
        </w:rPr>
        <w:t>v_proj</w:t>
      </w:r>
      <w:r>
        <w:rPr>
          <w:rFonts w:ascii="Times New Roman" w:hAnsi="Times New Roman"/>
          <w:b w:val="0"/>
          <w:i w:val="0"/>
          <w:color w:val="0F172A"/>
          <w:sz w:val="22"/>
        </w:rPr>
        <w: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Trainable Parameters:</w:t>
      </w:r>
      <w:r>
        <w:rPr>
          <w:rFonts w:ascii="Times New Roman" w:hAnsi="Times New Roman"/>
          <w:b w:val="0"/>
          <w:i w:val="0"/>
          <w:color w:val="0F172A"/>
          <w:sz w:val="22"/>
        </w:rPr>
        <w:t xml:space="preserve"> 540,672 out of 494,573,440 (</w:t>
      </w:r>
      <w:r>
        <w:rPr>
          <w:rFonts w:ascii="Times New Roman" w:hAnsi="Times New Roman"/>
          <w:b/>
          <w:i w:val="0"/>
          <w:color w:val="0F172A"/>
          <w:sz w:val="22"/>
        </w:rPr>
        <w:t>0.1093%</w:t>
      </w:r>
      <w:r>
        <w:rPr>
          <w:rFonts w:ascii="Times New Roman" w:hAnsi="Times New Roman"/>
          <w:b w:val="0"/>
          <w:i w:val="0"/>
          <w:color w:val="0F172A"/>
          <w:sz w:val="22"/>
        </w:rPr>
        <w: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Precision:</w:t>
      </w:r>
      <w:r>
        <w:rPr>
          <w:rFonts w:ascii="Times New Roman" w:hAnsi="Times New Roman"/>
          <w:b w:val="0"/>
          <w:i w:val="0"/>
          <w:color w:val="0F172A"/>
          <w:sz w:val="22"/>
        </w:rPr>
        <w:t xml:space="preserve"> FP16 (</w:t>
      </w:r>
      <w:r>
        <w:rPr>
          <w:rFonts w:ascii="Consolas" w:hAnsi="Consolas"/>
          <w:color w:val="1E293B"/>
          <w:sz w:val="20"/>
        </w:rPr>
        <w:t>torch.float16</w:t>
      </w:r>
      <w:r>
        <w:rPr>
          <w:rFonts w:ascii="Times New Roman" w:hAnsi="Times New Roman"/>
          <w:b w:val="0"/>
          <w:i w:val="0"/>
          <w:color w:val="0F172A"/>
          <w:sz w:val="22"/>
        </w:rPr>
        <w: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Training Dynamics:</w:t>
      </w:r>
      <w:r>
        <w:rPr>
          <w:rFonts w:ascii="Times New Roman" w:hAnsi="Times New Roman"/>
          <w:b w:val="0"/>
          <w:i w:val="0"/>
          <w:color w:val="0F172A"/>
          <w:sz w:val="22"/>
        </w:rPr>
        <w:t xml:space="preserve"> 3 epochs, batch size 2, gradient accumulation 2, AdamW optimizer, learning rate </w:t>
      </w:r>
      <w:r>
        <w:rPr>
          <w:rFonts w:ascii="Times New Roman" w:hAnsi="Times New Roman"/>
          <w:i/>
          <w:color w:val="0F172A"/>
          <w:sz w:val="22"/>
        </w:rPr>
        <w:t>2 × 10^-4</w:t>
      </w:r>
      <w:r>
        <w:rPr>
          <w:rFonts w:ascii="Times New Roman" w:hAnsi="Times New Roman"/>
          <w:b w:val="0"/>
          <w:i w:val="0"/>
          <w:color w:val="0F172A"/>
          <w:sz w:val="22"/>
        </w:rPr>
        <w:t xml:space="preserve"> with linear warmup. Training completed in </w:t>
      </w:r>
      <w:r>
        <w:rPr>
          <w:rFonts w:ascii="Times New Roman" w:hAnsi="Times New Roman"/>
          <w:b/>
          <w:i w:val="0"/>
          <w:color w:val="0F172A"/>
          <w:sz w:val="22"/>
        </w:rPr>
        <w:t>9.06 seconds</w:t>
      </w:r>
      <w:r>
        <w:rPr>
          <w:rFonts w:ascii="Times New Roman" w:hAnsi="Times New Roman"/>
          <w:b w:val="0"/>
          <w:i w:val="0"/>
          <w:color w:val="0F172A"/>
          <w:sz w:val="22"/>
        </w:rPr>
        <w:t xml:space="preserve">, reducing cross-entropy validation loss from </w:t>
      </w:r>
      <w:r>
        <w:rPr>
          <w:rFonts w:ascii="Times New Roman" w:hAnsi="Times New Roman"/>
          <w:i/>
          <w:color w:val="0F172A"/>
          <w:sz w:val="22"/>
        </w:rPr>
        <w:t>1.6426</w:t>
      </w:r>
      <w:r>
        <w:rPr>
          <w:rFonts w:ascii="Times New Roman" w:hAnsi="Times New Roman"/>
          <w:b w:val="0"/>
          <w:i w:val="0"/>
          <w:color w:val="0F172A"/>
          <w:sz w:val="22"/>
        </w:rPr>
        <w:t xml:space="preserve"> to </w:t>
      </w:r>
      <w:r>
        <w:rPr>
          <w:rFonts w:ascii="Times New Roman" w:hAnsi="Times New Roman"/>
          <w:i/>
          <w:color w:val="0F172A"/>
          <w:sz w:val="22"/>
        </w:rPr>
        <w:t>1.4008</w:t>
      </w:r>
      <w:r>
        <w:rPr>
          <w:rFonts w:ascii="Times New Roman" w:hAnsi="Times New Roman"/>
          <w:b w:val="0"/>
          <w:i w:val="0"/>
          <w:color w:val="0F172A"/>
          <w:sz w:val="22"/>
        </w:rPr>
        <w:t>.</w:t>
      </w:r>
    </w:p>
    <w:p>
      <w:pPr>
        <w:keepNext/>
        <w:spacing w:before="200" w:after="80"/>
        <w:jc w:val="left"/>
      </w:pPr>
      <w:r>
        <w:rPr>
          <w:rFonts w:ascii="Times New Roman" w:hAnsi="Times New Roman"/>
          <w:b/>
          <w:color w:val="1E293B"/>
          <w:sz w:val="25"/>
        </w:rPr>
        <w:t>9.3 QLoRA Implementation (4-bit NF4)</w:t>
      </w:r>
    </w:p>
    <w:p>
      <w:pPr>
        <w:spacing w:after="120"/>
      </w:pPr>
      <w:r>
        <w:rPr>
          <w:rFonts w:ascii="Times New Roman" w:hAnsi="Times New Roman"/>
          <w:b w:val="0"/>
          <w:i w:val="0"/>
          <w:color w:val="0F172A"/>
          <w:sz w:val="23"/>
        </w:rPr>
        <w:t>To minimize memory utilization, QLoRA [3] quantizes the frozen base model weights into 4-bit NormalFloat (NF4). The NF4 data type is an information-theoretically optimal quantile quantization scheme for zero-mean, unit-variance normally distributed weights:</w:t>
      </w:r>
    </w:p>
    <w:p>
      <w:pPr>
        <w:spacing w:before="120" w:after="120"/>
        <w:jc w:val="center"/>
      </w:pPr>
      <w:r>
        <w:rPr>
          <w:rFonts w:ascii="Times New Roman" w:hAnsi="Times New Roman"/>
          <w:i/>
          <w:color w:val="1E293B"/>
          <w:sz w:val="22"/>
        </w:rPr>
        <w:t>q_i = (1) / (2) ≤ft( Q_X≤ft((i) / (2^k)\right) + Q_X≤ft((i+1) / (2^k)\right) \right)</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Double Quantization:</w:t>
      </w:r>
      <w:r>
        <w:rPr>
          <w:rFonts w:ascii="Times New Roman" w:hAnsi="Times New Roman"/>
          <w:b w:val="0"/>
          <w:i w:val="0"/>
          <w:color w:val="0F172A"/>
          <w:sz w:val="22"/>
        </w:rPr>
        <w:t xml:space="preserve"> Quantization constants are themselves quantized into 8-bit integers with 32-block size, saving 0.37 bits per parameter.</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Compute Dtype:</w:t>
      </w:r>
      <w:r>
        <w:rPr>
          <w:rFonts w:ascii="Times New Roman" w:hAnsi="Times New Roman"/>
          <w:b w:val="0"/>
          <w:i w:val="0"/>
          <w:color w:val="0F172A"/>
          <w:sz w:val="22"/>
        </w:rPr>
        <w:t xml:space="preserve"> FP16 is used during forward and backward passes.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Adapter Configuration:</w:t>
      </w:r>
      <w:r>
        <w:rPr>
          <w:rFonts w:ascii="Times New Roman" w:hAnsi="Times New Roman"/>
          <w:b w:val="0"/>
          <w:i w:val="0"/>
          <w:color w:val="0F172A"/>
          <w:sz w:val="22"/>
        </w:rPr>
        <w:t xml:space="preserve"> Identical low-rank matrices (</w:t>
      </w:r>
      <w:r>
        <w:rPr>
          <w:rFonts w:ascii="Times New Roman" w:hAnsi="Times New Roman"/>
          <w:i/>
          <w:color w:val="0F172A"/>
          <w:sz w:val="22"/>
        </w:rPr>
        <w:t>r=8, α=16</w:t>
      </w:r>
      <w:r>
        <w:rPr>
          <w:rFonts w:ascii="Times New Roman" w:hAnsi="Times New Roman"/>
          <w:b w:val="0"/>
          <w:i w:val="0"/>
          <w:color w:val="0F172A"/>
          <w:sz w:val="22"/>
        </w:rPr>
        <w:t xml:space="preserve">, targeting </w:t>
      </w:r>
      <w:r>
        <w:rPr>
          <w:rFonts w:ascii="Consolas" w:hAnsi="Consolas"/>
          <w:color w:val="1E293B"/>
          <w:sz w:val="20"/>
        </w:rPr>
        <w:t>q_proj</w:t>
      </w:r>
      <w:r>
        <w:rPr>
          <w:rFonts w:ascii="Times New Roman" w:hAnsi="Times New Roman"/>
          <w:b w:val="0"/>
          <w:i w:val="0"/>
          <w:color w:val="0F172A"/>
          <w:sz w:val="22"/>
        </w:rPr>
        <w:t xml:space="preserve"> and </w:t>
      </w:r>
      <w:r>
        <w:rPr>
          <w:rFonts w:ascii="Consolas" w:hAnsi="Consolas"/>
          <w:color w:val="1E293B"/>
          <w:sz w:val="20"/>
        </w:rPr>
        <w:t>v_proj</w:t>
      </w:r>
      <w:r>
        <w:rPr>
          <w:rFonts w:ascii="Times New Roman" w:hAnsi="Times New Roman"/>
          <w:b w:val="0"/>
          <w:i w:val="0"/>
          <w:color w:val="0F172A"/>
          <w:sz w:val="22"/>
        </w:rPr>
        <w:t>, 540,672 parameters).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Training Dynamics:</w:t>
      </w:r>
      <w:r>
        <w:rPr>
          <w:rFonts w:ascii="Times New Roman" w:hAnsi="Times New Roman"/>
          <w:b w:val="0"/>
          <w:i w:val="0"/>
          <w:color w:val="0F172A"/>
          <w:sz w:val="22"/>
        </w:rPr>
        <w:t xml:space="preserve"> 3 epochs, training time </w:t>
      </w:r>
      <w:r>
        <w:rPr>
          <w:rFonts w:ascii="Times New Roman" w:hAnsi="Times New Roman"/>
          <w:b/>
          <w:i w:val="0"/>
          <w:color w:val="0F172A"/>
          <w:sz w:val="22"/>
        </w:rPr>
        <w:t>21.60 seconds</w:t>
      </w:r>
      <w:r>
        <w:rPr>
          <w:rFonts w:ascii="Times New Roman" w:hAnsi="Times New Roman"/>
          <w:b w:val="0"/>
          <w:i w:val="0"/>
          <w:color w:val="0F172A"/>
          <w:sz w:val="22"/>
        </w:rPr>
        <w:t xml:space="preserve">, validation loss decreasing from </w:t>
      </w:r>
      <w:r>
        <w:rPr>
          <w:rFonts w:ascii="Times New Roman" w:hAnsi="Times New Roman"/>
          <w:i/>
          <w:color w:val="0F172A"/>
          <w:sz w:val="22"/>
        </w:rPr>
        <w:t>1.5872</w:t>
      </w:r>
      <w:r>
        <w:rPr>
          <w:rFonts w:ascii="Times New Roman" w:hAnsi="Times New Roman"/>
          <w:b w:val="0"/>
          <w:i w:val="0"/>
          <w:color w:val="0F172A"/>
          <w:sz w:val="22"/>
        </w:rPr>
        <w:t xml:space="preserve"> to </w:t>
      </w:r>
      <w:r>
        <w:rPr>
          <w:rFonts w:ascii="Times New Roman" w:hAnsi="Times New Roman"/>
          <w:i/>
          <w:color w:val="0F172A"/>
          <w:sz w:val="22"/>
        </w:rPr>
        <w:t>1.3748</w:t>
      </w:r>
      <w:r>
        <w:rPr>
          <w:rFonts w:ascii="Times New Roman" w:hAnsi="Times New Roman"/>
          <w:b w:val="0"/>
          <w:i w:val="0"/>
          <w:color w:val="0F172A"/>
          <w:sz w:val="22"/>
        </w:rPr>
        <w:t>.</w:t>
      </w:r>
    </w:p>
    <w:p>
      <w:pPr>
        <w:keepNext/>
        <w:spacing w:before="280" w:after="120"/>
        <w:jc w:val="left"/>
      </w:pPr>
      <w:r>
        <w:rPr>
          <w:rFonts w:ascii="Times New Roman" w:hAnsi="Times New Roman"/>
          <w:b/>
          <w:color w:val="0F172A"/>
          <w:sz w:val="28"/>
        </w:rPr>
        <w:t>10. Grounding and Claim Verification</w:t>
      </w:r>
    </w:p>
    <w:p>
      <w:pPr>
        <w:spacing w:after="120"/>
      </w:pPr>
      <w:r>
        <w:rPr>
          <w:rFonts w:ascii="Times New Roman" w:hAnsi="Times New Roman"/>
          <w:b w:val="0"/>
          <w:i w:val="0"/>
          <w:color w:val="0F172A"/>
          <w:sz w:val="23"/>
        </w:rPr>
        <w:t>To prevent hallucinations, SupportIQ implements a deterministic evidence chain connecting answers to physical documents:</w:t>
      </w:r>
    </w:p>
    <w:tbl>
      <w:tblPr>
        <w:tblW w:type="auto" w:w="0"/>
        <w:jc w:val="center"/>
        <w:tblLook w:firstColumn="1" w:firstRow="1" w:lastColumn="0" w:lastRow="0" w:noHBand="0" w:noVBand="1" w:val="04A0"/>
      </w:tblPr>
      <w:tblGrid>
        <w:gridCol w:w="9029"/>
      </w:tblGrid>
      <w:tr>
        <w:tc>
          <w:tcPr>
            <w:tcW w:type="dxa" w:w="9029"/>
            <w:shd w:fill="F8FAFC"/>
            <w:tcBorders>
              <w:top w:sz="4" w:val="single" w:color="CBD5E1"/>
              <w:left w:sz="4" w:val="single" w:color="CBD5E1"/>
              <w:bottom w:sz="4" w:val="single" w:color="CBD5E1"/>
              <w:right w:sz="4" w:val="single" w:color="CBD5E1"/>
            </w:tcBorders>
            <w:tcMar>
              <w:top w:w="80" w:type="dxa"/>
              <w:bottom w:w="80" w:type="dxa"/>
              <w:left w:w="100" w:type="dxa"/>
              <w:right w:w="100" w:type="dxa"/>
            </w:tcMar>
          </w:tcPr>
          <w:p>
            <w:pPr>
              <w:spacing w:line="240" w:lineRule="auto" w:after="0"/>
            </w:pPr>
            <w:r>
              <w:rPr>
                <w:rFonts w:ascii="Consolas" w:hAnsi="Consolas"/>
                <w:color w:val="1E293B"/>
                <w:sz w:val="16"/>
              </w:rPr>
              <w:t>Generated Answer</w:t>
              <w:br/>
              <w:t xml:space="preserve">       │</w:t>
              <w:br/>
              <w:t xml:space="preserve">       ▼</w:t>
              <w:br/>
              <w:t>[Sentence Claim Decomposition]</w:t>
              <w:br/>
              <w:t xml:space="preserve">       │</w:t>
              <w:br/>
              <w:t xml:space="preserve">       ▼</w:t>
              <w:br/>
              <w:t>[Substantive Token Matching] ───► Retrieved Chunks</w:t>
              <w:br/>
              <w:t xml:space="preserve">       │                                │</w:t>
              <w:br/>
              <w:t xml:space="preserve">       ▼                                ▼</w:t>
              <w:br/>
              <w:t>[Grounding Verification] ──────── Source Document &amp; Page Number</w:t>
              <w:br/>
              <w:t xml:space="preserve">       │</w:t>
              <w:br/>
              <w:t xml:space="preserve">       ▼</w:t>
              <w:br/>
              <w:t>[Reliability Scoring &amp; Citations / Safe Abstention]</w:t>
            </w:r>
          </w:p>
        </w:tc>
      </w:tr>
    </w:tbl>
    <w:p/>
    <w:p>
      <w:pPr>
        <w:keepNext/>
        <w:spacing w:before="200" w:after="80"/>
        <w:jc w:val="left"/>
      </w:pPr>
      <w:r>
        <w:rPr>
          <w:rFonts w:ascii="Times New Roman" w:hAnsi="Times New Roman"/>
          <w:b/>
          <w:color w:val="1E293B"/>
          <w:sz w:val="25"/>
        </w:rPr>
        <w:t>10.1 Sentence-Level Claim Decomposition</w:t>
      </w:r>
    </w:p>
    <w:p>
      <w:pPr>
        <w:spacing w:after="120"/>
      </w:pPr>
      <w:r>
        <w:rPr>
          <w:rFonts w:ascii="Times New Roman" w:hAnsi="Times New Roman"/>
          <w:b w:val="0"/>
          <w:i w:val="0"/>
          <w:color w:val="0F172A"/>
          <w:sz w:val="23"/>
        </w:rPr>
        <w:t xml:space="preserve">The generated text is split into distinct proposition sentences </w:t>
      </w:r>
      <w:r>
        <w:rPr>
          <w:rFonts w:ascii="Times New Roman" w:hAnsi="Times New Roman"/>
          <w:i/>
          <w:color w:val="0F172A"/>
          <w:sz w:val="23"/>
        </w:rPr>
        <w:t>S = \s_1, s_2, \dots, s_m\</w:t>
      </w:r>
      <w:r>
        <w:rPr>
          <w:rFonts w:ascii="Times New Roman" w:hAnsi="Times New Roman"/>
          <w:b w:val="0"/>
          <w:i w:val="0"/>
          <w:color w:val="0F172A"/>
          <w:sz w:val="23"/>
        </w:rPr>
        <w:t xml:space="preserve"> using regex punctuation delimiters (</w:t>
      </w:r>
      <w:r>
        <w:rPr>
          <w:rFonts w:ascii="Consolas" w:hAnsi="Consolas"/>
          <w:color w:val="1E293B"/>
          <w:sz w:val="21"/>
        </w:rPr>
        <w:t>[.!?]\s+|\n+</w:t>
      </w:r>
      <w:r>
        <w:rPr>
          <w:rFonts w:ascii="Times New Roman" w:hAnsi="Times New Roman"/>
          <w:b w:val="0"/>
          <w:i w:val="0"/>
          <w:color w:val="0F172A"/>
          <w:sz w:val="23"/>
        </w:rPr>
        <w:t>). Each proposition is evaluated independently against the retrieved context passages.</w:t>
      </w:r>
    </w:p>
    <w:p>
      <w:pPr>
        <w:keepNext/>
        <w:spacing w:before="200" w:after="80"/>
        <w:jc w:val="left"/>
      </w:pPr>
      <w:r>
        <w:rPr>
          <w:rFonts w:ascii="Times New Roman" w:hAnsi="Times New Roman"/>
          <w:b/>
          <w:color w:val="1E293B"/>
          <w:sz w:val="25"/>
        </w:rPr>
        <w:t>10.2 Claim Evidence Scoring and Grounding Gate</w:t>
      </w:r>
    </w:p>
    <w:p>
      <w:pPr>
        <w:spacing w:after="120"/>
      </w:pPr>
      <w:r>
        <w:rPr>
          <w:rFonts w:ascii="Times New Roman" w:hAnsi="Times New Roman"/>
          <w:b w:val="0"/>
          <w:i w:val="0"/>
          <w:color w:val="0F172A"/>
          <w:sz w:val="23"/>
        </w:rPr>
        <w:t xml:space="preserve">For each claim </w:t>
      </w:r>
      <w:r>
        <w:rPr>
          <w:rFonts w:ascii="Times New Roman" w:hAnsi="Times New Roman"/>
          <w:i/>
          <w:color w:val="0F172A"/>
          <w:sz w:val="23"/>
        </w:rPr>
        <w:t>s_j</w:t>
      </w:r>
      <w:r>
        <w:rPr>
          <w:rFonts w:ascii="Times New Roman" w:hAnsi="Times New Roman"/>
          <w:b w:val="0"/>
          <w:i w:val="0"/>
          <w:color w:val="0F172A"/>
          <w:sz w:val="23"/>
        </w:rPr>
        <w:t xml:space="preserve">, token overlap is computed against each retrieved chunk </w:t>
      </w:r>
      <w:r>
        <w:rPr>
          <w:rFonts w:ascii="Times New Roman" w:hAnsi="Times New Roman"/>
          <w:i/>
          <w:color w:val="0F172A"/>
          <w:sz w:val="23"/>
        </w:rPr>
        <w:t>C_i</w:t>
      </w:r>
      <w:r>
        <w:rPr>
          <w:rFonts w:ascii="Times New Roman" w:hAnsi="Times New Roman"/>
          <w:b w:val="0"/>
          <w:i w:val="0"/>
          <w:color w:val="0F172A"/>
          <w:sz w:val="23"/>
        </w:rPr>
        <w:t>:</w:t>
      </w:r>
    </w:p>
    <w:p>
      <w:pPr>
        <w:spacing w:before="120" w:after="120"/>
        <w:jc w:val="center"/>
      </w:pPr>
      <w:r>
        <w:rPr>
          <w:rFonts w:ascii="Times New Roman" w:hAnsi="Times New Roman"/>
          <w:i/>
          <w:color w:val="1E293B"/>
          <w:sz w:val="22"/>
        </w:rPr>
        <w:t>ClaimScore(s_j, C_i) = (|s_j,substantive ∩ C_i,tokens|) / (|s_j,substantive)|</w:t>
      </w:r>
    </w:p>
    <w:p>
      <w:pPr>
        <w:spacing w:after="120"/>
      </w:pPr>
      <w:r>
        <w:rPr>
          <w:rFonts w:ascii="Times New Roman" w:hAnsi="Times New Roman"/>
          <w:b w:val="0"/>
          <w:i w:val="0"/>
          <w:color w:val="0F172A"/>
          <w:sz w:val="23"/>
        </w:rPr>
        <w:t xml:space="preserve">A claim is classified as </w:t>
      </w:r>
      <w:r>
        <w:rPr>
          <w:rFonts w:ascii="Consolas" w:hAnsi="Consolas"/>
          <w:color w:val="1E293B"/>
          <w:sz w:val="21"/>
        </w:rPr>
        <w:t>supported</w:t>
      </w:r>
      <w:r>
        <w:rPr>
          <w:rFonts w:ascii="Times New Roman" w:hAnsi="Times New Roman"/>
          <w:b w:val="0"/>
          <w:i w:val="0"/>
          <w:color w:val="0F172A"/>
          <w:sz w:val="23"/>
        </w:rPr>
        <w:t xml:space="preserve"> if </w:t>
      </w:r>
      <w:r>
        <w:rPr>
          <w:rFonts w:ascii="Times New Roman" w:hAnsi="Times New Roman"/>
          <w:i/>
          <w:color w:val="0F172A"/>
          <w:sz w:val="23"/>
        </w:rPr>
        <w:t>\max_i ClaimScore(s_j, C_i) ≥ 0.12</w:t>
      </w:r>
      <w:r>
        <w:rPr>
          <w:rFonts w:ascii="Times New Roman" w:hAnsi="Times New Roman"/>
          <w:b w:val="0"/>
          <w:i w:val="0"/>
          <w:color w:val="0F172A"/>
          <w:sz w:val="23"/>
        </w:rPr>
        <w:t>.</w:t>
      </w:r>
    </w:p>
    <w:p>
      <w:pPr>
        <w:keepNext/>
        <w:spacing w:before="200" w:after="80"/>
        <w:jc w:val="left"/>
      </w:pPr>
      <w:r>
        <w:rPr>
          <w:rFonts w:ascii="Times New Roman" w:hAnsi="Times New Roman"/>
          <w:b/>
          <w:color w:val="1E293B"/>
          <w:sz w:val="25"/>
        </w:rPr>
        <w:t>10.3 Reliability Scoring Formulation</w:t>
      </w:r>
    </w:p>
    <w:p>
      <w:pPr>
        <w:spacing w:after="120"/>
      </w:pPr>
      <w:r>
        <w:rPr>
          <w:rFonts w:ascii="Times New Roman" w:hAnsi="Times New Roman"/>
          <w:b w:val="0"/>
          <w:i w:val="0"/>
          <w:color w:val="0F172A"/>
          <w:sz w:val="23"/>
        </w:rPr>
        <w:t>The continuous reliability score balances claim coverage with evidence strength:</w:t>
      </w:r>
    </w:p>
    <w:p>
      <w:pPr>
        <w:spacing w:before="120" w:after="120"/>
        <w:jc w:val="center"/>
      </w:pPr>
      <w:r>
        <w:rPr>
          <w:rFonts w:ascii="Times New Roman" w:hAnsi="Times New Roman"/>
          <w:i/>
          <w:color w:val="1E293B"/>
          <w:sz w:val="22"/>
        </w:rPr>
        <w:t>Coverage = (N_supported_claims) / (N_total_claims)</w:t>
      </w:r>
    </w:p>
    <w:p>
      <w:pPr>
        <w:spacing w:before="120" w:after="120"/>
        <w:jc w:val="center"/>
      </w:pPr>
      <w:r>
        <w:rPr>
          <w:rFonts w:ascii="Times New Roman" w:hAnsi="Times New Roman"/>
          <w:i/>
          <w:color w:val="1E293B"/>
          <w:sz w:val="22"/>
        </w:rPr>
        <w:t>NormalizedSupport = \min≤ft(1.0, (AverageEvidenceScore) / (0.35)\right)</w:t>
      </w:r>
    </w:p>
    <w:p>
      <w:pPr>
        <w:spacing w:before="120" w:after="120"/>
        <w:jc w:val="center"/>
      </w:pPr>
      <w:r>
        <w:rPr>
          <w:rFonts w:ascii="Times New Roman" w:hAnsi="Times New Roman"/>
          <w:i/>
          <w:color w:val="1E293B"/>
          <w:sz w:val="22"/>
        </w:rPr>
        <w:t>ReliabilityScore = 0.70 × Coverage + 0.30 × NormalizedSupport</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 xml:space="preserve">Grounding Status: </w:t>
      </w:r>
      <w:r>
        <w:rPr>
          <w:rFonts w:ascii="Consolas" w:hAnsi="Consolas"/>
          <w:color w:val="1E293B"/>
          <w:sz w:val="20"/>
        </w:rPr>
        <w:t>supported</w:t>
      </w:r>
      <w:r>
        <w:rPr>
          <w:rFonts w:ascii="Times New Roman" w:hAnsi="Times New Roman"/>
          <w:b w:val="0"/>
          <w:i w:val="0"/>
          <w:color w:val="0F172A"/>
          <w:sz w:val="22"/>
        </w:rPr>
        <w:t xml:space="preserve"> (</w:t>
      </w:r>
      <w:r>
        <w:rPr>
          <w:rFonts w:ascii="Times New Roman" w:hAnsi="Times New Roman"/>
          <w:i/>
          <w:color w:val="0F172A"/>
          <w:sz w:val="22"/>
        </w:rPr>
        <w:t>Coverage ≥ 0.80</w:t>
      </w:r>
      <w:r>
        <w:rPr>
          <w:rFonts w:ascii="Times New Roman" w:hAnsi="Times New Roman"/>
          <w:b w:val="0"/>
          <w:i w:val="0"/>
          <w:color w:val="0F172A"/>
          <w:sz w:val="22"/>
        </w:rPr>
        <w:t xml:space="preserve">), </w:t>
      </w:r>
      <w:r>
        <w:rPr>
          <w:rFonts w:ascii="Consolas" w:hAnsi="Consolas"/>
          <w:color w:val="1E293B"/>
          <w:sz w:val="20"/>
        </w:rPr>
        <w:t>partially_supported</w:t>
      </w:r>
      <w:r>
        <w:rPr>
          <w:rFonts w:ascii="Times New Roman" w:hAnsi="Times New Roman"/>
          <w:b w:val="0"/>
          <w:i w:val="0"/>
          <w:color w:val="0F172A"/>
          <w:sz w:val="22"/>
        </w:rPr>
        <w:t xml:space="preserve"> (</w:t>
      </w:r>
      <w:r>
        <w:rPr>
          <w:rFonts w:ascii="Times New Roman" w:hAnsi="Times New Roman"/>
          <w:i/>
          <w:color w:val="0F172A"/>
          <w:sz w:val="22"/>
        </w:rPr>
        <w:t>0.50 ≤ Coverage &lt; 0.80</w:t>
      </w:r>
      <w:r>
        <w:rPr>
          <w:rFonts w:ascii="Times New Roman" w:hAnsi="Times New Roman"/>
          <w:b w:val="0"/>
          <w:i w:val="0"/>
          <w:color w:val="0F172A"/>
          <w:sz w:val="22"/>
        </w:rPr>
        <w:t xml:space="preserve">), or </w:t>
      </w:r>
      <w:r>
        <w:rPr>
          <w:rFonts w:ascii="Consolas" w:hAnsi="Consolas"/>
          <w:color w:val="1E293B"/>
          <w:sz w:val="20"/>
        </w:rPr>
        <w:t>unsupported</w:t>
      </w:r>
      <w:r>
        <w:rPr>
          <w:rFonts w:ascii="Times New Roman" w:hAnsi="Times New Roman"/>
          <w:b w:val="0"/>
          <w:i w:val="0"/>
          <w:color w:val="0F172A"/>
          <w:sz w:val="22"/>
        </w:rPr>
        <w:t xml:space="preserve"> (</w:t>
      </w:r>
      <w:r>
        <w:rPr>
          <w:rFonts w:ascii="Times New Roman" w:hAnsi="Times New Roman"/>
          <w:i/>
          <w:color w:val="0F172A"/>
          <w:sz w:val="22"/>
        </w:rPr>
        <w:t>Coverage &lt; 0.50</w:t>
      </w:r>
      <w:r>
        <w:rPr>
          <w:rFonts w:ascii="Times New Roman" w:hAnsi="Times New Roman"/>
          <w:b w:val="0"/>
          <w:i w:val="0"/>
          <w:color w:val="0F172A"/>
          <w:sz w:val="22"/>
        </w:rPr>
        <w:t>).</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 xml:space="preserve">If </w:t>
      </w:r>
      <w:r>
        <w:rPr>
          <w:rFonts w:ascii="Times New Roman" w:hAnsi="Times New Roman"/>
          <w:i/>
          <w:color w:val="0F172A"/>
          <w:sz w:val="22"/>
        </w:rPr>
        <w:t>ReliabilityScore &lt; 0.40</w:t>
      </w:r>
      <w:r>
        <w:rPr>
          <w:rFonts w:ascii="Times New Roman" w:hAnsi="Times New Roman"/>
          <w:b w:val="0"/>
          <w:i w:val="0"/>
          <w:color w:val="0F172A"/>
          <w:sz w:val="22"/>
        </w:rPr>
        <w:t xml:space="preserve">, the system flags the response as </w:t>
      </w:r>
      <w:r>
        <w:rPr>
          <w:rFonts w:ascii="Consolas" w:hAnsi="Consolas"/>
          <w:color w:val="1E293B"/>
          <w:sz w:val="20"/>
        </w:rPr>
        <w:t>low_confidence</w:t>
      </w:r>
      <w:r>
        <w:rPr>
          <w:rFonts w:ascii="Times New Roman" w:hAnsi="Times New Roman"/>
          <w:b w:val="0"/>
          <w:i w:val="0"/>
          <w:color w:val="0F172A"/>
          <w:sz w:val="22"/>
        </w:rPr>
        <w:t xml:space="preserve"> and provides a direct 1-click human ticketing escalation option.</w:t>
      </w:r>
    </w:p>
    <w:p>
      <w:pPr>
        <w:keepNext/>
        <w:spacing w:before="280" w:after="120"/>
        <w:jc w:val="left"/>
      </w:pPr>
      <w:r>
        <w:rPr>
          <w:rFonts w:ascii="Times New Roman" w:hAnsi="Times New Roman"/>
          <w:b/>
          <w:color w:val="0F172A"/>
          <w:sz w:val="28"/>
        </w:rPr>
        <w:t>11. Experimental Setup</w:t>
      </w:r>
    </w:p>
    <w:p>
      <w:pPr>
        <w:keepNext/>
        <w:spacing w:before="200" w:after="80"/>
        <w:jc w:val="left"/>
      </w:pPr>
      <w:r>
        <w:rPr>
          <w:rFonts w:ascii="Times New Roman" w:hAnsi="Times New Roman"/>
          <w:b/>
          <w:color w:val="1E293B"/>
          <w:sz w:val="25"/>
        </w:rPr>
        <w:t>11.1 Hardware and Software Environment</w:t>
      </w:r>
    </w:p>
    <w:p>
      <w:pPr>
        <w:spacing w:after="120"/>
      </w:pPr>
      <w:r>
        <w:rPr>
          <w:rFonts w:ascii="Times New Roman" w:hAnsi="Times New Roman"/>
          <w:b w:val="0"/>
          <w:i w:val="0"/>
          <w:color w:val="0F172A"/>
          <w:sz w:val="23"/>
        </w:rPr>
        <w:t>All fine-tuning and live neural inference benchmarks were conducted on a single host workstation:</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GPU:</w:t>
      </w:r>
      <w:r>
        <w:rPr>
          <w:rFonts w:ascii="Times New Roman" w:hAnsi="Times New Roman"/>
          <w:b w:val="0"/>
          <w:i w:val="0"/>
          <w:color w:val="0F172A"/>
          <w:sz w:val="22"/>
        </w:rPr>
        <w:t xml:space="preserve"> NVIDIA GeForce RTX 2050 Laptop GPU (1 device)</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Total Dedicated VRAM:</w:t>
      </w:r>
      <w:r>
        <w:rPr>
          <w:rFonts w:ascii="Times New Roman" w:hAnsi="Times New Roman"/>
          <w:b w:val="0"/>
          <w:i w:val="0"/>
          <w:color w:val="0F172A"/>
          <w:sz w:val="22"/>
        </w:rPr>
        <w:t xml:space="preserve"> 4.00 GB (4096 MB)</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CUDA Driver / Runtime:</w:t>
      </w:r>
      <w:r>
        <w:rPr>
          <w:rFonts w:ascii="Times New Roman" w:hAnsi="Times New Roman"/>
          <w:b w:val="0"/>
          <w:i w:val="0"/>
          <w:color w:val="0F172A"/>
          <w:sz w:val="22"/>
        </w:rPr>
        <w:t xml:space="preserve"> CUDA 12.4</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Deep Learning Framework:</w:t>
      </w:r>
      <w:r>
        <w:rPr>
          <w:rFonts w:ascii="Times New Roman" w:hAnsi="Times New Roman"/>
          <w:b w:val="0"/>
          <w:i w:val="0"/>
          <w:color w:val="0F172A"/>
          <w:sz w:val="22"/>
        </w:rPr>
        <w:t xml:space="preserve"> PyTorch </w:t>
      </w:r>
      <w:r>
        <w:rPr>
          <w:rFonts w:ascii="Consolas" w:hAnsi="Consolas"/>
          <w:color w:val="1E293B"/>
          <w:sz w:val="20"/>
        </w:rPr>
        <w:t>2.6.0+cu124</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Model Libraries:</w:t>
      </w:r>
      <w:r>
        <w:rPr>
          <w:rFonts w:ascii="Times New Roman" w:hAnsi="Times New Roman"/>
          <w:b w:val="0"/>
          <w:i w:val="0"/>
          <w:color w:val="0F172A"/>
          <w:sz w:val="22"/>
        </w:rPr>
        <w:t xml:space="preserve"> HuggingFace Transformers </w:t>
      </w:r>
      <w:r>
        <w:rPr>
          <w:rFonts w:ascii="Consolas" w:hAnsi="Consolas"/>
          <w:color w:val="1E293B"/>
          <w:sz w:val="20"/>
        </w:rPr>
        <w:t>5.17.0</w:t>
      </w:r>
      <w:r>
        <w:rPr>
          <w:rFonts w:ascii="Times New Roman" w:hAnsi="Times New Roman"/>
          <w:b w:val="0"/>
          <w:i w:val="0"/>
          <w:color w:val="0F172A"/>
          <w:sz w:val="22"/>
        </w:rPr>
        <w:t xml:space="preserve"> [15], PEFT </w:t>
      </w:r>
      <w:r>
        <w:rPr>
          <w:rFonts w:ascii="Consolas" w:hAnsi="Consolas"/>
          <w:color w:val="1E293B"/>
          <w:sz w:val="20"/>
        </w:rPr>
        <w:t>0.21.0</w:t>
      </w:r>
      <w:r>
        <w:rPr>
          <w:rFonts w:ascii="Times New Roman" w:hAnsi="Times New Roman"/>
          <w:b w:val="0"/>
          <w:i w:val="0"/>
          <w:color w:val="0F172A"/>
          <w:sz w:val="22"/>
        </w:rPr>
        <w:t xml:space="preserve"> [16], bitsandbytes </w:t>
      </w:r>
      <w:r>
        <w:rPr>
          <w:rFonts w:ascii="Consolas" w:hAnsi="Consolas"/>
          <w:color w:val="1E293B"/>
          <w:sz w:val="20"/>
        </w:rPr>
        <w:t>0.50.2</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Operating System &amp; Runtime:</w:t>
      </w:r>
      <w:r>
        <w:rPr>
          <w:rFonts w:ascii="Times New Roman" w:hAnsi="Times New Roman"/>
          <w:b w:val="0"/>
          <w:i w:val="0"/>
          <w:color w:val="0F172A"/>
          <w:sz w:val="22"/>
        </w:rPr>
        <w:t xml:space="preserve"> Windows 11, Python </w:t>
      </w:r>
      <w:r>
        <w:rPr>
          <w:rFonts w:ascii="Consolas" w:hAnsi="Consolas"/>
          <w:color w:val="1E293B"/>
          <w:sz w:val="20"/>
        </w:rPr>
        <w:t>3.12.10</w:t>
      </w:r>
      <w:r>
        <w:rPr>
          <w:rFonts w:ascii="Times New Roman" w:hAnsi="Times New Roman"/>
          <w:b w:val="0"/>
          <w:i w:val="0"/>
          <w:color w:val="0F172A"/>
          <w:sz w:val="22"/>
        </w:rPr>
        <w:t xml:space="preserve"> AMD64</w:t>
      </w:r>
    </w:p>
    <w:p>
      <w:pPr>
        <w:keepNext/>
        <w:spacing w:before="200" w:after="80"/>
        <w:jc w:val="left"/>
      </w:pPr>
      <w:r>
        <w:rPr>
          <w:rFonts w:ascii="Times New Roman" w:hAnsi="Times New Roman"/>
          <w:b/>
          <w:color w:val="1E293B"/>
          <w:sz w:val="25"/>
        </w:rPr>
        <w:t>11.2 Evaluation Protocol</w:t>
      </w:r>
    </w:p>
    <w:p>
      <w:pPr>
        <w:spacing w:after="120"/>
      </w:pPr>
      <w:r>
        <w:rPr>
          <w:rFonts w:ascii="Times New Roman" w:hAnsi="Times New Roman"/>
          <w:b w:val="0"/>
          <w:i w:val="0"/>
          <w:color w:val="0F172A"/>
          <w:sz w:val="23"/>
        </w:rPr>
        <w:t>Evaluation was performed across the 10 test cases of Frozen Holdout Dataset 2 (</w:t>
      </w:r>
      <w:r>
        <w:rPr>
          <w:rFonts w:ascii="Times New Roman" w:hAnsi="Times New Roman"/>
          <w:i/>
          <w:color w:val="0F172A"/>
          <w:sz w:val="23"/>
        </w:rPr>
        <w:t>N=10</w:t>
      </w:r>
      <w:r>
        <w:rPr>
          <w:rFonts w:ascii="Times New Roman" w:hAnsi="Times New Roman"/>
          <w:b w:val="0"/>
          <w:i w:val="0"/>
          <w:color w:val="0F172A"/>
          <w:sz w:val="23"/>
        </w:rPr>
        <w:t>):</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7 Answerable Domain Queries (</w:t>
      </w:r>
      <w:r>
        <w:rPr>
          <w:rFonts w:ascii="Times New Roman" w:hAnsi="Times New Roman"/>
          <w:i/>
          <w:color w:val="0F172A"/>
          <w:sz w:val="22"/>
        </w:rPr>
        <w:t>N_ans=7</w:t>
      </w:r>
      <w:r>
        <w:rPr>
          <w:rFonts w:ascii="Times New Roman" w:hAnsi="Times New Roman"/>
          <w:b w:val="0"/>
          <w:i w:val="0"/>
          <w:color w:val="0F172A"/>
          <w:sz w:val="22"/>
        </w:rPr>
        <w:t>, Cases 11–17).</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3 Unsupported / Adversarial Queries (</w:t>
      </w:r>
      <w:r>
        <w:rPr>
          <w:rFonts w:ascii="Times New Roman" w:hAnsi="Times New Roman"/>
          <w:i/>
          <w:color w:val="0F172A"/>
          <w:sz w:val="22"/>
        </w:rPr>
        <w:t>N_unsupp=3</w:t>
      </w:r>
      <w:r>
        <w:rPr>
          <w:rFonts w:ascii="Times New Roman" w:hAnsi="Times New Roman"/>
          <w:b w:val="0"/>
          <w:i w:val="0"/>
          <w:color w:val="0F172A"/>
          <w:sz w:val="22"/>
        </w:rPr>
        <w:t>, Cases 18–20).</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Greedily decoded generation (</w:t>
      </w:r>
      <w:r>
        <w:rPr>
          <w:rFonts w:ascii="Consolas" w:hAnsi="Consolas"/>
          <w:color w:val="1E293B"/>
          <w:sz w:val="20"/>
        </w:rPr>
        <w:t>do_sample=False</w:t>
      </w:r>
      <w:r>
        <w:rPr>
          <w:rFonts w:ascii="Times New Roman" w:hAnsi="Times New Roman"/>
          <w:b w:val="0"/>
          <w:i w:val="0"/>
          <w:color w:val="0F172A"/>
          <w:sz w:val="22"/>
        </w:rPr>
        <w:t xml:space="preserve">, </w:t>
      </w:r>
      <w:r>
        <w:rPr>
          <w:rFonts w:ascii="Consolas" w:hAnsi="Consolas"/>
          <w:color w:val="1E293B"/>
          <w:sz w:val="20"/>
        </w:rPr>
        <w:t>max_new_tokens=96</w:t>
      </w:r>
      <w:r>
        <w:rPr>
          <w:rFonts w:ascii="Times New Roman" w:hAnsi="Times New Roman"/>
          <w:b w:val="0"/>
          <w:i w:val="0"/>
          <w:color w:val="0F172A"/>
          <w:sz w:val="22"/>
        </w:rPr>
        <w:t>).</w:t>
      </w:r>
    </w:p>
    <w:p>
      <w:pPr>
        <w:keepNext/>
        <w:spacing w:before="280" w:after="120"/>
        <w:jc w:val="left"/>
      </w:pPr>
      <w:r>
        <w:rPr>
          <w:rFonts w:ascii="Times New Roman" w:hAnsi="Times New Roman"/>
          <w:b/>
          <w:color w:val="0F172A"/>
          <w:sz w:val="28"/>
        </w:rPr>
        <w:t>12. Evaluation Metrics</w:t>
      </w:r>
    </w:p>
    <w:p>
      <w:pPr>
        <w:spacing w:after="120"/>
      </w:pPr>
      <w:r>
        <w:rPr>
          <w:rFonts w:ascii="Times New Roman" w:hAnsi="Times New Roman"/>
          <w:b w:val="0"/>
          <w:i w:val="0"/>
          <w:color w:val="0F172A"/>
          <w:sz w:val="23"/>
        </w:rPr>
        <w:t xml:space="preserve">Metric calculations adhere strictly to the definitions established in </w:t>
      </w:r>
      <w:r>
        <w:rPr>
          <w:rFonts w:ascii="Times New Roman" w:hAnsi="Times New Roman"/>
          <w:color w:val="1E3A8A"/>
          <w:sz w:val="23"/>
        </w:rPr>
        <w:t>`research/EVALUATION_PROTOCOL.md`</w:t>
      </w:r>
      <w:r>
        <w:rPr>
          <w:rFonts w:ascii="Times New Roman" w:hAnsi="Times New Roman"/>
          <w:b w:val="0"/>
          <w:i w:val="0"/>
          <w:color w:val="0F172A"/>
          <w:sz w:val="23"/>
        </w:rPr>
        <w:t>:</w:t>
      </w:r>
    </w:p>
    <w:p>
      <w:pPr>
        <w:spacing w:after="80"/>
        <w:ind w:left="432"/>
      </w:pPr>
      <w:r>
        <w:rPr>
          <w:rFonts w:ascii="Times New Roman" w:hAnsi="Times New Roman"/>
          <w:b/>
          <w:sz w:val="22"/>
        </w:rPr>
        <w:t xml:space="preserve">1.  </w:t>
      </w:r>
      <w:r>
        <w:rPr>
          <w:rFonts w:ascii="Times New Roman" w:hAnsi="Times New Roman"/>
          <w:b/>
          <w:i w:val="0"/>
          <w:color w:val="0F172A"/>
          <w:sz w:val="22"/>
        </w:rPr>
        <w:t>Recall@5:</w:t>
      </w:r>
    </w:p>
    <w:p>
      <w:pPr>
        <w:spacing w:before="120" w:after="120"/>
        <w:jc w:val="center"/>
      </w:pPr>
      <w:r>
        <w:rPr>
          <w:rFonts w:ascii="Times New Roman" w:hAnsi="Times New Roman"/>
          <w:i/>
          <w:color w:val="1E293B"/>
          <w:sz w:val="22"/>
        </w:rPr>
        <w:t>Recall@5 = (1) / (N_ans) ∑_i=1^N_ans I≤ft(c_i^* \in Top5(Q_i)\right)</w:t>
      </w:r>
    </w:p>
    <w:p>
      <w:pPr>
        <w:spacing w:after="80"/>
        <w:ind w:left="432"/>
      </w:pPr>
      <w:r>
        <w:rPr>
          <w:rFonts w:ascii="Times New Roman" w:hAnsi="Times New Roman"/>
          <w:b/>
          <w:sz w:val="22"/>
        </w:rPr>
        <w:t xml:space="preserve">2.  </w:t>
      </w:r>
      <w:r>
        <w:rPr>
          <w:rFonts w:ascii="Times New Roman" w:hAnsi="Times New Roman"/>
          <w:b/>
          <w:i w:val="0"/>
          <w:color w:val="0F172A"/>
          <w:sz w:val="22"/>
        </w:rPr>
        <w:t>Mean Reciprocal Rank (MRR):</w:t>
      </w:r>
    </w:p>
    <w:p>
      <w:pPr>
        <w:spacing w:before="120" w:after="120"/>
        <w:jc w:val="center"/>
      </w:pPr>
      <w:r>
        <w:rPr>
          <w:rFonts w:ascii="Times New Roman" w:hAnsi="Times New Roman"/>
          <w:i/>
          <w:color w:val="1E293B"/>
          <w:sz w:val="22"/>
        </w:rPr>
        <w:t>MRR = (1) / (N_ans) ∑_i=1^N_ans (1) / (Rank)(c_i^*)</w:t>
      </w:r>
    </w:p>
    <w:p>
      <w:pPr>
        <w:spacing w:after="80"/>
        <w:ind w:left="432"/>
      </w:pPr>
      <w:r>
        <w:rPr>
          <w:rFonts w:ascii="Times New Roman" w:hAnsi="Times New Roman"/>
          <w:b/>
          <w:sz w:val="22"/>
        </w:rPr>
        <w:t xml:space="preserve">3.  </w:t>
      </w:r>
      <w:r>
        <w:rPr>
          <w:rFonts w:ascii="Times New Roman" w:hAnsi="Times New Roman"/>
          <w:b/>
          <w:i w:val="0"/>
          <w:color w:val="0F172A"/>
          <w:sz w:val="22"/>
        </w:rPr>
        <w:t>Composite Accuracy:</w:t>
      </w:r>
    </w:p>
    <w:p>
      <w:pPr>
        <w:spacing w:before="120" w:after="120"/>
        <w:jc w:val="center"/>
      </w:pPr>
      <w:r>
        <w:rPr>
          <w:rFonts w:ascii="Times New Roman" w:hAnsi="Times New Roman"/>
          <w:i/>
          <w:color w:val="1E293B"/>
          <w:sz w:val="22"/>
        </w:rPr>
        <w:t>Accuracy = (N_correct_answers + N_correct_safe_refusals) / (N_total)</w:t>
      </w:r>
    </w:p>
    <w:p>
      <w:pPr>
        <w:spacing w:after="80"/>
        <w:ind w:left="432"/>
      </w:pPr>
      <w:r>
        <w:rPr>
          <w:rFonts w:ascii="Times New Roman" w:hAnsi="Times New Roman"/>
          <w:b/>
          <w:sz w:val="22"/>
        </w:rPr>
        <w:t xml:space="preserve">4.  </w:t>
      </w:r>
      <w:r>
        <w:rPr>
          <w:rFonts w:ascii="Times New Roman" w:hAnsi="Times New Roman"/>
          <w:b/>
          <w:i w:val="0"/>
          <w:color w:val="0F172A"/>
          <w:sz w:val="22"/>
        </w:rPr>
        <w:t>Faithfulness:</w:t>
      </w:r>
    </w:p>
    <w:p>
      <w:pPr>
        <w:spacing w:before="120" w:after="120"/>
        <w:jc w:val="center"/>
      </w:pPr>
      <w:r>
        <w:rPr>
          <w:rFonts w:ascii="Times New Roman" w:hAnsi="Times New Roman"/>
          <w:i/>
          <w:color w:val="1E293B"/>
          <w:sz w:val="22"/>
        </w:rPr>
        <w:t>Faithfulness = (1) / (N_ans) ∑_i=1^N_ans ≤ft( (∑_j=1^M_i I(Score(claim_i,j, C_i) ≥ 0.12)) / (M_i) \right)</w:t>
      </w:r>
    </w:p>
    <w:p>
      <w:pPr>
        <w:spacing w:after="80"/>
        <w:ind w:left="432"/>
      </w:pPr>
      <w:r>
        <w:rPr>
          <w:rFonts w:ascii="Times New Roman" w:hAnsi="Times New Roman"/>
          <w:b/>
          <w:sz w:val="22"/>
        </w:rPr>
        <w:t xml:space="preserve">5.  </w:t>
      </w:r>
      <w:r>
        <w:rPr>
          <w:rFonts w:ascii="Times New Roman" w:hAnsi="Times New Roman"/>
          <w:b/>
          <w:i w:val="0"/>
          <w:color w:val="0F172A"/>
          <w:sz w:val="22"/>
        </w:rPr>
        <w:t>Citation Correctness:</w:t>
      </w:r>
    </w:p>
    <w:p>
      <w:pPr>
        <w:spacing w:before="120" w:after="120"/>
        <w:jc w:val="center"/>
      </w:pPr>
      <w:r>
        <w:rPr>
          <w:rFonts w:ascii="Times New Roman" w:hAnsi="Times New Roman"/>
          <w:i/>
          <w:color w:val="1E293B"/>
          <w:sz w:val="22"/>
        </w:rPr>
        <w:t>CitationCorrectness = (N_valid_citations_ans + N_zero_citations_unsupp) / (N_total)</w:t>
      </w:r>
    </w:p>
    <w:p>
      <w:pPr>
        <w:spacing w:after="80"/>
        <w:ind w:left="432"/>
      </w:pPr>
      <w:r>
        <w:rPr>
          <w:rFonts w:ascii="Times New Roman" w:hAnsi="Times New Roman"/>
          <w:b/>
          <w:sz w:val="22"/>
        </w:rPr>
        <w:t xml:space="preserve">6.  </w:t>
      </w:r>
      <w:r>
        <w:rPr>
          <w:rFonts w:ascii="Times New Roman" w:hAnsi="Times New Roman"/>
          <w:b/>
          <w:i w:val="0"/>
          <w:color w:val="0F172A"/>
          <w:sz w:val="22"/>
        </w:rPr>
        <w:t>Hallucination Rate:</w:t>
      </w:r>
    </w:p>
    <w:p>
      <w:pPr>
        <w:spacing w:before="120" w:after="120"/>
        <w:jc w:val="center"/>
      </w:pPr>
      <w:r>
        <w:rPr>
          <w:rFonts w:ascii="Times New Roman" w:hAnsi="Times New Roman"/>
          <w:i/>
          <w:color w:val="1E293B"/>
          <w:sz w:val="22"/>
        </w:rPr>
        <w:t>HallucinationRate = (N_hallucinated_unsupported) / (N_unsupp)</w:t>
      </w:r>
    </w:p>
    <w:p>
      <w:pPr>
        <w:spacing w:after="80"/>
        <w:ind w:left="432"/>
      </w:pPr>
      <w:r>
        <w:rPr>
          <w:rFonts w:ascii="Times New Roman" w:hAnsi="Times New Roman"/>
          <w:b/>
          <w:sz w:val="22"/>
        </w:rPr>
        <w:t xml:space="preserve">7.  </w:t>
      </w:r>
      <w:r>
        <w:rPr>
          <w:rFonts w:ascii="Times New Roman" w:hAnsi="Times New Roman"/>
          <w:b/>
          <w:i w:val="0"/>
          <w:color w:val="0F172A"/>
          <w:sz w:val="22"/>
        </w:rPr>
        <w:t>Latency Separation:</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Retrieval &amp; Verification Latency (CPU):</w:t>
      </w:r>
      <w:r>
        <w:rPr>
          <w:rFonts w:ascii="Times New Roman" w:hAnsi="Times New Roman"/>
          <w:b w:val="0"/>
          <w:i w:val="0"/>
          <w:color w:val="0F172A"/>
          <w:sz w:val="22"/>
        </w:rPr>
        <w:t xml:space="preserve"> Measured in CPU wall-clock seconds for candidate search and RRF.</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LLM Generation Latency (GPU):</w:t>
      </w:r>
      <w:r>
        <w:rPr>
          <w:rFonts w:ascii="Times New Roman" w:hAnsi="Times New Roman"/>
          <w:b w:val="0"/>
          <w:i w:val="0"/>
          <w:color w:val="0F172A"/>
          <w:sz w:val="22"/>
        </w:rPr>
        <w:t xml:space="preserve"> Measured via synchronized CUDA timers (</w:t>
      </w:r>
      <w:r>
        <w:rPr>
          <w:rFonts w:ascii="Consolas" w:hAnsi="Consolas"/>
          <w:color w:val="1E293B"/>
          <w:sz w:val="20"/>
        </w:rPr>
        <w:t>torch.cuda.synchronize()</w:t>
      </w:r>
      <w:r>
        <w:rPr>
          <w:rFonts w:ascii="Times New Roman" w:hAnsi="Times New Roman"/>
          <w:b w:val="0"/>
          <w:i w:val="0"/>
          <w:color w:val="0F172A"/>
          <w:sz w:val="22"/>
        </w:rPr>
        <w:t>) for token generation.</w:t>
      </w:r>
    </w:p>
    <w:p>
      <w:pPr>
        <w:keepNext/>
        <w:spacing w:before="280" w:after="120"/>
        <w:jc w:val="left"/>
      </w:pPr>
      <w:r>
        <w:rPr>
          <w:rFonts w:ascii="Times New Roman" w:hAnsi="Times New Roman"/>
          <w:b/>
          <w:color w:val="0F172A"/>
          <w:sz w:val="28"/>
        </w:rPr>
        <w:t>13. Results</w:t>
      </w:r>
    </w:p>
    <w:p>
      <w:pPr>
        <w:spacing w:after="120"/>
      </w:pPr>
      <w:r>
        <w:rPr>
          <w:rFonts w:ascii="Times New Roman" w:hAnsi="Times New Roman"/>
          <w:b w:val="0"/>
          <w:i w:val="0"/>
          <w:color w:val="0F172A"/>
          <w:sz w:val="23"/>
        </w:rPr>
        <w:t>Table 1 presents the empirical evaluation results across model architectures on Frozen Holdout Dataset 2 (</w:t>
      </w:r>
      <w:r>
        <w:rPr>
          <w:rFonts w:ascii="Times New Roman" w:hAnsi="Times New Roman"/>
          <w:i/>
          <w:color w:val="0F172A"/>
          <w:sz w:val="23"/>
        </w:rPr>
        <w:t>N=10</w:t>
      </w:r>
      <w:r>
        <w:rPr>
          <w:rFonts w:ascii="Times New Roman" w:hAnsi="Times New Roman"/>
          <w:b w:val="0"/>
          <w:i w:val="0"/>
          <w:color w:val="0F172A"/>
          <w:sz w:val="23"/>
        </w:rPr>
        <w:t>).</w:t>
      </w:r>
    </w:p>
    <w:p>
      <w:pPr>
        <w:keepNext/>
        <w:spacing w:before="80" w:after="160"/>
        <w:jc w:val="center"/>
      </w:pPr>
      <w:r>
        <w:rPr>
          <w:rFonts w:ascii="Times New Roman" w:hAnsi="Times New Roman"/>
          <w:b/>
          <w:i/>
          <w:color w:val="334155"/>
          <w:sz w:val="20"/>
        </w:rPr>
        <w:t>Table 1. Empirical benchmark results on Frozen Holdout Dataset 2 ($N=10$).</w:t>
      </w:r>
    </w:p>
    <w:tbl>
      <w:tblPr>
        <w:tblW w:type="auto" w:w="0"/>
        <w:jc w:val="center"/>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136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Model Architecture</w:t>
            </w:r>
          </w:p>
        </w:tc>
        <w:tc>
          <w:tcPr>
            <w:tcW w:type="dxa" w:w="108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Quantization</w:t>
            </w:r>
          </w:p>
        </w:tc>
        <w:tc>
          <w:tcPr>
            <w:tcW w:type="dxa" w:w="792"/>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Accuracy (N=10)</w:t>
            </w:r>
          </w:p>
        </w:tc>
        <w:tc>
          <w:tcPr>
            <w:tcW w:type="dxa" w:w="792"/>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Faithfulness (N_ans=7)</w:t>
            </w:r>
          </w:p>
        </w:tc>
        <w:tc>
          <w:tcPr>
            <w:tcW w:type="dxa" w:w="72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Recall@5 (N_ans=7)</w:t>
            </w:r>
          </w:p>
        </w:tc>
        <w:tc>
          <w:tcPr>
            <w:tcW w:type="dxa" w:w="64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MRR (N_ans=7)</w:t>
            </w:r>
          </w:p>
        </w:tc>
        <w:tc>
          <w:tcPr>
            <w:tcW w:type="dxa" w:w="792"/>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Citation Corr. (N=10)</w:t>
            </w:r>
          </w:p>
        </w:tc>
        <w:tc>
          <w:tcPr>
            <w:tcW w:type="dxa" w:w="792"/>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Hallucination (N_unsupp=3)</w:t>
            </w:r>
          </w:p>
        </w:tc>
        <w:tc>
          <w:tcPr>
            <w:tcW w:type="dxa" w:w="1037"/>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LLM Gen. Latency</w:t>
            </w:r>
          </w:p>
        </w:tc>
        <w:tc>
          <w:tcPr>
            <w:tcW w:type="dxa" w:w="100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Peak Inference VRAM</w:t>
            </w:r>
          </w:p>
        </w:tc>
      </w:tr>
      <w:tr>
        <w:tc>
          <w:tcPr>
            <w:tcW w:type="dxa" w:w="136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Base Qwen 2.5 0.5B</w:t>
            </w:r>
          </w:p>
        </w:tc>
        <w:tc>
          <w:tcPr>
            <w:tcW w:type="dxa" w:w="108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FP16 (Pretrained)</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10783C"/>
                <w:sz w:val="16"/>
              </w:rPr>
              <w:t>100.0% (10/10)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95.2%</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10783C"/>
                <w:sz w:val="16"/>
              </w:rPr>
              <w:t>100.0% (10/10)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 (0/3)</w:t>
            </w:r>
          </w:p>
        </w:tc>
        <w:tc>
          <w:tcPr>
            <w:tcW w:type="dxa" w:w="1037"/>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2.061 s</w:t>
            </w:r>
          </w:p>
        </w:tc>
        <w:tc>
          <w:tcPr>
            <w:tcW w:type="dxa" w:w="100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0.96 GB</w:t>
            </w:r>
          </w:p>
        </w:tc>
      </w:tr>
      <w:tr>
        <w:tc>
          <w:tcPr>
            <w:tcW w:type="dxa" w:w="136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SupportIQ LoRA</w:t>
            </w:r>
          </w:p>
        </w:tc>
        <w:tc>
          <w:tcPr>
            <w:tcW w:type="dxa" w:w="108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FP16 PEFT ($r=8$)</w:t>
            </w:r>
          </w:p>
        </w:tc>
        <w:tc>
          <w:tcPr>
            <w:tcW w:type="dxa" w:w="792"/>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 (10/10)</w:t>
            </w:r>
          </w:p>
        </w:tc>
        <w:tc>
          <w:tcPr>
            <w:tcW w:type="dxa" w:w="792"/>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1.0000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1.0000</w:t>
            </w:r>
          </w:p>
        </w:tc>
        <w:tc>
          <w:tcPr>
            <w:tcW w:type="dxa" w:w="792"/>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 (10/10)</w:t>
            </w:r>
          </w:p>
        </w:tc>
        <w:tc>
          <w:tcPr>
            <w:tcW w:type="dxa" w:w="792"/>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0.0% (0/3)</w:t>
            </w:r>
          </w:p>
        </w:tc>
        <w:tc>
          <w:tcPr>
            <w:tcW w:type="dxa" w:w="1037"/>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0.844 s</w:t>
            </w:r>
          </w:p>
        </w:tc>
        <w:tc>
          <w:tcPr>
            <w:tcW w:type="dxa" w:w="100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0.96 GB</w:t>
            </w:r>
          </w:p>
        </w:tc>
      </w:tr>
      <w:tr>
        <w:tc>
          <w:tcPr>
            <w:tcW w:type="dxa" w:w="136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SupportIQ QLoRA</w:t>
            </w:r>
          </w:p>
        </w:tc>
        <w:tc>
          <w:tcPr>
            <w:tcW w:type="dxa" w:w="108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4-bit NF4 PEFT</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 (10/10)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1.0000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1.0000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 (10/10)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0.0% (0/3)</w:t>
            </w:r>
          </w:p>
        </w:tc>
        <w:tc>
          <w:tcPr>
            <w:tcW w:type="dxa" w:w="1037"/>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1.668 s</w:t>
            </w:r>
          </w:p>
        </w:tc>
        <w:tc>
          <w:tcPr>
            <w:tcW w:type="dxa" w:w="100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10783C"/>
                <w:sz w:val="16"/>
              </w:rPr>
              <w:t>0.46 GB</w:t>
            </w:r>
          </w:p>
        </w:tc>
      </w:tr>
    </w:tbl>
    <w:p/>
    <w:p>
      <w:pPr>
        <w:keepNext/>
        <w:spacing w:before="80" w:after="160"/>
        <w:jc w:val="center"/>
      </w:pPr>
      <w:r>
        <w:rPr>
          <w:rFonts w:ascii="Times New Roman" w:hAnsi="Times New Roman"/>
          <w:b/>
          <w:i/>
          <w:color w:val="334155"/>
          <w:sz w:val="20"/>
        </w:rPr>
        <w:t>Table 2. Offline extractive pipeline baseline (Experiment 3, Run 42).</w:t>
      </w:r>
    </w:p>
    <w:tbl>
      <w:tblPr>
        <w:tblW w:type="auto" w:w="0"/>
        <w:jc w:val="center"/>
        <w:tblLook w:firstColumn="1" w:firstRow="1" w:lastColumn="0" w:lastRow="0" w:noHBand="0" w:noVBand="1" w:val="04A0"/>
      </w:tblPr>
      <w:tblGrid>
        <w:gridCol w:w="1129"/>
        <w:gridCol w:w="1129"/>
        <w:gridCol w:w="1129"/>
        <w:gridCol w:w="1129"/>
        <w:gridCol w:w="1129"/>
        <w:gridCol w:w="1129"/>
        <w:gridCol w:w="1129"/>
        <w:gridCol w:w="1129"/>
      </w:tblGrid>
      <w:tr>
        <w:tc>
          <w:tcPr>
            <w:tcW w:type="dxa" w:w="172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Variant</w:t>
            </w:r>
          </w:p>
        </w:tc>
        <w:tc>
          <w:tcPr>
            <w:tcW w:type="dxa" w:w="144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Evaluation Mode</w:t>
            </w:r>
          </w:p>
        </w:tc>
        <w:tc>
          <w:tcPr>
            <w:tcW w:type="dxa" w:w="864"/>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Accuracy</w:t>
            </w:r>
          </w:p>
        </w:tc>
        <w:tc>
          <w:tcPr>
            <w:tcW w:type="dxa" w:w="864"/>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Faithfulness</w:t>
            </w:r>
          </w:p>
        </w:tc>
        <w:tc>
          <w:tcPr>
            <w:tcW w:type="dxa" w:w="792"/>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Recall@5</w:t>
            </w:r>
          </w:p>
        </w:tc>
        <w:tc>
          <w:tcPr>
            <w:tcW w:type="dxa" w:w="72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MRR</w:t>
            </w:r>
          </w:p>
        </w:tc>
        <w:tc>
          <w:tcPr>
            <w:tcW w:type="dxa" w:w="1296"/>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Retr. &amp; Verif. Latency (CPU)</w:t>
            </w:r>
          </w:p>
        </w:tc>
        <w:tc>
          <w:tcPr>
            <w:tcW w:type="dxa" w:w="1325"/>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LLM Gen. Latency</w:t>
            </w:r>
          </w:p>
        </w:tc>
      </w:tr>
      <w:tr>
        <w:tc>
          <w:tcPr>
            <w:tcW w:type="dxa" w:w="172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RAG + QLoRA Config</w:t>
            </w:r>
          </w:p>
        </w:tc>
        <w:tc>
          <w:tcPr>
            <w:tcW w:type="dxa" w:w="144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Offline Extractive</w:t>
            </w:r>
          </w:p>
        </w:tc>
        <w:tc>
          <w:tcPr>
            <w:tcW w:type="dxa" w:w="864"/>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10783C"/>
                <w:sz w:val="16"/>
              </w:rPr>
              <w:t>100.0% (10/10)</w:t>
            </w:r>
          </w:p>
        </w:tc>
        <w:tc>
          <w:tcPr>
            <w:tcW w:type="dxa" w:w="864"/>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98.0%</w:t>
            </w:r>
          </w:p>
        </w:tc>
        <w:tc>
          <w:tcPr>
            <w:tcW w:type="dxa" w:w="792"/>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129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0.0119 s</w:t>
            </w:r>
          </w:p>
        </w:tc>
        <w:tc>
          <w:tcPr>
            <w:tcW w:type="dxa" w:w="1325"/>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Not measured</w:t>
            </w:r>
          </w:p>
        </w:tc>
      </w:tr>
    </w:tbl>
    <w:p/>
    <w:p>
      <w:pPr>
        <w:spacing w:after="120"/>
      </w:pPr>
      <w:r>
        <w:rPr>
          <w:rFonts w:ascii="Times New Roman" w:hAnsi="Times New Roman"/>
          <w:b w:val="0"/>
          <w:i w:val="0"/>
          <w:color w:val="0F172A"/>
          <w:sz w:val="23"/>
        </w:rPr>
        <w:t>As documented in Table 1:</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All three neural configurations achieve 100.0% composite accuracy on the 10 holdout cases by answering all 7 answerable questions correctly and safely refusing all 3 unsupported queries.</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Pretrained Base Qwen achieves 95.2% claim faithfulness due to conversational verbosity, whereas both fine-tuned LoRA and QLoRA achieve 100.0% claim faithfulness, adhering strictly to the extracted facts.</w:t>
      </w:r>
    </w:p>
    <w:p>
      <w:pPr>
        <w:spacing w:after="80"/>
        <w:ind w:left="432"/>
      </w:pPr>
      <w:r>
        <w:rPr>
          <w:rFonts w:ascii="Times New Roman" w:hAnsi="Times New Roman"/>
          <w:b/>
          <w:color w:val="1E3A8A"/>
          <w:sz w:val="22"/>
        </w:rPr>
        <w:t xml:space="preserve">•  </w:t>
      </w:r>
      <w:r>
        <w:rPr>
          <w:rFonts w:ascii="Times New Roman" w:hAnsi="Times New Roman"/>
          <w:b w:val="0"/>
          <w:i w:val="0"/>
          <w:color w:val="0F172A"/>
          <w:sz w:val="22"/>
        </w:rPr>
        <w:t>In the offline extractive pipeline (Table 2), retrieval and verification execute in just 11.9 milliseconds (0.0119 s) on CPU.</w:t>
      </w:r>
    </w:p>
    <w:p>
      <w:pPr>
        <w:keepNext/>
        <w:spacing w:before="280" w:after="120"/>
        <w:jc w:val="left"/>
      </w:pPr>
      <w:r>
        <w:rPr>
          <w:rFonts w:ascii="Times New Roman" w:hAnsi="Times New Roman"/>
          <w:b/>
          <w:color w:val="0F172A"/>
          <w:sz w:val="28"/>
        </w:rPr>
        <w:t>14. Ablation Analysis</w:t>
      </w:r>
    </w:p>
    <w:p>
      <w:pPr>
        <w:spacing w:after="120"/>
      </w:pPr>
      <w:r>
        <w:rPr>
          <w:rFonts w:ascii="Times New Roman" w:hAnsi="Times New Roman"/>
          <w:b w:val="0"/>
          <w:i w:val="0"/>
          <w:color w:val="0F172A"/>
          <w:sz w:val="23"/>
        </w:rPr>
        <w:t>To quantify the contribution of each algorithmic stage, Experiment 4 isolated individual components across Holdout Dataset 2 (</w:t>
      </w:r>
      <w:r>
        <w:rPr>
          <w:rFonts w:ascii="Times New Roman" w:hAnsi="Times New Roman"/>
          <w:i/>
          <w:color w:val="0F172A"/>
          <w:sz w:val="23"/>
        </w:rPr>
        <w:t>N=10</w:t>
      </w:r>
      <w:r>
        <w:rPr>
          <w:rFonts w:ascii="Times New Roman" w:hAnsi="Times New Roman"/>
          <w:b w:val="0"/>
          <w:i w:val="0"/>
          <w:color w:val="0F172A"/>
          <w:sz w:val="23"/>
        </w:rPr>
        <w:t>). Table 3 details the empirical ablation results.</w:t>
      </w:r>
    </w:p>
    <w:p>
      <w:pPr>
        <w:keepNext/>
        <w:spacing w:before="80" w:after="160"/>
        <w:jc w:val="center"/>
      </w:pPr>
      <w:r>
        <w:rPr>
          <w:rFonts w:ascii="Times New Roman" w:hAnsi="Times New Roman"/>
          <w:b/>
          <w:i/>
          <w:color w:val="334155"/>
          <w:sz w:val="20"/>
        </w:rPr>
        <w:t>Table 3. Retrieval and verification component ablation study (Experiment 4, Dataset 2).</w:t>
      </w:r>
    </w:p>
    <w:tbl>
      <w:tblPr>
        <w:tblW w:type="auto" w:w="0"/>
        <w:jc w:val="center"/>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576"/>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Run ID</w:t>
            </w:r>
          </w:p>
        </w:tc>
        <w:tc>
          <w:tcPr>
            <w:tcW w:type="dxa" w:w="100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Ablation Mode</w:t>
            </w:r>
          </w:p>
        </w:tc>
        <w:tc>
          <w:tcPr>
            <w:tcW w:type="dxa" w:w="1296"/>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Component Isolated</w:t>
            </w:r>
          </w:p>
        </w:tc>
        <w:tc>
          <w:tcPr>
            <w:tcW w:type="dxa" w:w="72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Accuracy (N=10)</w:t>
            </w:r>
          </w:p>
        </w:tc>
        <w:tc>
          <w:tcPr>
            <w:tcW w:type="dxa" w:w="64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Recall@5 (N_ans=7)</w:t>
            </w:r>
          </w:p>
        </w:tc>
        <w:tc>
          <w:tcPr>
            <w:tcW w:type="dxa" w:w="64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MRR (N_ans=7)</w:t>
            </w:r>
          </w:p>
        </w:tc>
        <w:tc>
          <w:tcPr>
            <w:tcW w:type="dxa" w:w="72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Faithfulness (N_ans=7)</w:t>
            </w:r>
          </w:p>
        </w:tc>
        <w:tc>
          <w:tcPr>
            <w:tcW w:type="dxa" w:w="72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Citation Corr. (N=10)</w:t>
            </w:r>
          </w:p>
        </w:tc>
        <w:tc>
          <w:tcPr>
            <w:tcW w:type="dxa" w:w="720"/>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Hallucination (N_unsupp=3)</w:t>
            </w:r>
          </w:p>
        </w:tc>
        <w:tc>
          <w:tcPr>
            <w:tcW w:type="dxa" w:w="648"/>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Retr. Latency</w:t>
            </w:r>
          </w:p>
        </w:tc>
        <w:tc>
          <w:tcPr>
            <w:tcW w:type="dxa" w:w="1325"/>
            <w:shd w:fill="1E3A8A"/>
            <w:tcMar>
              <w:top w:w="80" w:type="dxa"/>
              <w:bottom w:w="80" w:type="dxa"/>
              <w:left w:w="60" w:type="dxa"/>
              <w:right w:w="60" w:type="dxa"/>
            </w:tcMar>
            <w:tcBorders>
              <w:top w:sz="8" w:val="single" w:color="1E3A8A"/>
              <w:left w:sz="4" w:val="single" w:color="3B82F6"/>
              <w:bottom w:sz="12" w:val="single" w:color="0F172A"/>
              <w:right w:sz="4" w:val="single" w:color="3B82F6"/>
            </w:tcBorders>
          </w:tcPr>
          <w:p>
            <w:pPr>
              <w:spacing w:after="0" w:line="240" w:lineRule="auto"/>
              <w:jc w:val="center"/>
            </w:pPr>
            <w:r>
              <w:rPr>
                <w:rFonts w:ascii="Times New Roman" w:hAnsi="Times New Roman"/>
                <w:b/>
                <w:color w:val="FFFFFF"/>
                <w:sz w:val="17"/>
              </w:rPr>
              <w:t>Key Failure Mechanism</w:t>
            </w:r>
          </w:p>
        </w:tc>
      </w:tr>
      <w:tr>
        <w:tc>
          <w:tcPr>
            <w:tcW w:type="dxa" w:w="57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45</w:t>
            </w:r>
          </w:p>
        </w:tc>
        <w:tc>
          <w:tcPr>
            <w:tcW w:type="dxa" w:w="100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BM25 Only</w:t>
            </w:r>
          </w:p>
        </w:tc>
        <w:tc>
          <w:tcPr>
            <w:tcW w:type="dxa" w:w="129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Sparse lexical matching only</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90.0% (9/10)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95.6%</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90.0% (9/10)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33.3% (1/3)</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0.0052 s</w:t>
            </w:r>
          </w:p>
        </w:tc>
        <w:tc>
          <w:tcPr>
            <w:tcW w:type="dxa" w:w="1325"/>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Keyword trap: Case #20 matched "warranty" in Dell chunk</w:t>
            </w:r>
          </w:p>
        </w:tc>
      </w:tr>
      <w:tr>
        <w:tc>
          <w:tcPr>
            <w:tcW w:type="dxa" w:w="576"/>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46</w:t>
            </w:r>
          </w:p>
        </w:tc>
        <w:tc>
          <w:tcPr>
            <w:tcW w:type="dxa" w:w="100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Dense Vector Only</w:t>
            </w:r>
          </w:p>
        </w:tc>
        <w:tc>
          <w:tcPr>
            <w:tcW w:type="dxa" w:w="1296"/>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32-dim hash vector cosine only</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70.0% (7/10)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0.7976</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76.5%</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60.0% (6/10)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10783C"/>
                <w:sz w:val="16"/>
              </w:rPr>
              <w:t>100.0% (3/3)</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0.0051 s</w:t>
            </w:r>
          </w:p>
        </w:tc>
        <w:tc>
          <w:tcPr>
            <w:tcW w:type="dxa" w:w="1325"/>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Semantic drift: Case 16 @ rank 3, Case 17 @ rank 4; 100% hallucination</w:t>
            </w:r>
          </w:p>
        </w:tc>
      </w:tr>
      <w:tr>
        <w:tc>
          <w:tcPr>
            <w:tcW w:type="dxa" w:w="57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47</w:t>
            </w:r>
          </w:p>
        </w:tc>
        <w:tc>
          <w:tcPr>
            <w:tcW w:type="dxa" w:w="100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Hybrid w/o RRF</w:t>
            </w:r>
          </w:p>
        </w:tc>
        <w:tc>
          <w:tcPr>
            <w:tcW w:type="dxa" w:w="129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Linear score sum ($0.65L + 0.35V$)</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90.0% (9/10)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90.8%</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90.0% (9/10)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33.3% (1/3)</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0.0051 s</w:t>
            </w:r>
          </w:p>
        </w:tc>
        <w:tc>
          <w:tcPr>
            <w:tcW w:type="dxa" w:w="1325"/>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Keyword spike: Case #20 lexical score exceeded threshold</w:t>
            </w:r>
          </w:p>
        </w:tc>
      </w:tr>
      <w:tr>
        <w:tc>
          <w:tcPr>
            <w:tcW w:type="dxa" w:w="576"/>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48</w:t>
            </w:r>
          </w:p>
        </w:tc>
        <w:tc>
          <w:tcPr>
            <w:tcW w:type="dxa" w:w="100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Hybrid + RRF</w:t>
            </w:r>
          </w:p>
        </w:tc>
        <w:tc>
          <w:tcPr>
            <w:tcW w:type="dxa" w:w="1296"/>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Naive RAG (RRF without gate)</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70.0% (7/10)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70.0% (7/10)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10783C"/>
                <w:sz w:val="16"/>
              </w:rPr>
              <w:t>100.0% (3/3)</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0.0051 s</w:t>
            </w:r>
          </w:p>
        </w:tc>
        <w:tc>
          <w:tcPr>
            <w:tcW w:type="dxa" w:w="1325"/>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Unconditional generation: 100% hallucination on unsupported</w:t>
            </w:r>
          </w:p>
        </w:tc>
      </w:tr>
      <w:tr>
        <w:tc>
          <w:tcPr>
            <w:tcW w:type="dxa" w:w="57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49</w:t>
            </w:r>
          </w:p>
        </w:tc>
        <w:tc>
          <w:tcPr>
            <w:tcW w:type="dxa" w:w="100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Full Retr. + Verif.</w:t>
            </w:r>
          </w:p>
        </w:tc>
        <w:tc>
          <w:tcPr>
            <w:tcW w:type="dxa" w:w="1296"/>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RRF + Verif. (Generic filter)</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90.0% (9/10)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1.0000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98.0%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90.0% (9/10)</w:t>
            </w:r>
          </w:p>
        </w:tc>
        <w:tc>
          <w:tcPr>
            <w:tcW w:type="dxa" w:w="720"/>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33.3% (1/3)</w:t>
            </w:r>
          </w:p>
        </w:tc>
        <w:tc>
          <w:tcPr>
            <w:tcW w:type="dxa" w:w="648"/>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0.0051 s</w:t>
            </w:r>
          </w:p>
        </w:tc>
        <w:tc>
          <w:tcPr>
            <w:tcW w:type="dxa" w:w="1325"/>
            <w:shd w:fill="FFFFFF"/>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Boilerplate trap: Case #18 matched terms "supportiq", "support"</w:t>
            </w:r>
          </w:p>
        </w:tc>
      </w:tr>
      <w:tr>
        <w:tc>
          <w:tcPr>
            <w:tcW w:type="dxa" w:w="576"/>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50</w:t>
            </w:r>
          </w:p>
        </w:tc>
        <w:tc>
          <w:tcPr>
            <w:tcW w:type="dxa" w:w="100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b/>
                <w:color w:val="0F172A"/>
                <w:sz w:val="16"/>
              </w:rPr>
              <w:t>Full SupportIQ</w:t>
            </w:r>
          </w:p>
        </w:tc>
        <w:tc>
          <w:tcPr>
            <w:tcW w:type="dxa" w:w="1296"/>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color w:val="0F172A"/>
                <w:sz w:val="16"/>
              </w:rPr>
              <w:t>Hybrid RRF + Dual Safeguard Gate</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 (10/10)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1.0000</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1.0000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98.0%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10783C"/>
                <w:sz w:val="16"/>
              </w:rPr>
              <w:t>100.0% (10/10)</w:t>
            </w:r>
          </w:p>
        </w:tc>
        <w:tc>
          <w:tcPr>
            <w:tcW w:type="dxa" w:w="720"/>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0.0% (0/3)</w:t>
            </w:r>
          </w:p>
        </w:tc>
        <w:tc>
          <w:tcPr>
            <w:tcW w:type="dxa" w:w="648"/>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center"/>
            </w:pPr>
            <w:r>
              <w:rPr>
                <w:rFonts w:ascii="Times New Roman" w:hAnsi="Times New Roman"/>
                <w:b/>
                <w:color w:val="0F172A"/>
                <w:sz w:val="16"/>
              </w:rPr>
              <w:t>0.0049 s</w:t>
            </w:r>
          </w:p>
        </w:tc>
        <w:tc>
          <w:tcPr>
            <w:tcW w:type="dxa" w:w="1325"/>
            <w:shd w:fill="F8FAFC"/>
            <w:tcMar>
              <w:top w:w="60" w:type="dxa"/>
              <w:bottom w:w="60" w:type="dxa"/>
              <w:left w:w="60" w:type="dxa"/>
              <w:right w:w="60" w:type="dxa"/>
            </w:tcMar>
            <w:tcBorders>
              <w:top w:sz="4" w:val="single" w:color="E2E8F0"/>
              <w:left w:sz="4" w:val="single" w:color="E2E8F0"/>
              <w:bottom w:sz="4" w:val="single" w:color="E2E8F0"/>
              <w:right w:sz="4" w:val="single" w:color="E2E8F0"/>
            </w:tcBorders>
          </w:tcPr>
          <w:p>
            <w:pPr>
              <w:spacing w:after="0" w:line="240" w:lineRule="auto"/>
              <w:jc w:val="left"/>
            </w:pPr>
            <w:r>
              <w:rPr>
                <w:rFonts w:ascii="Times New Roman" w:hAnsi="Times New Roman"/>
                <w:color w:val="0F172A"/>
                <w:sz w:val="16"/>
              </w:rPr>
              <w:t>None: 100% safe refusal, 0 false positives</w:t>
            </w:r>
          </w:p>
        </w:tc>
      </w:tr>
    </w:tbl>
    <w:p/>
    <w:p>
      <w:pPr>
        <w:keepNext/>
        <w:spacing w:before="200" w:after="80"/>
        <w:jc w:val="left"/>
      </w:pPr>
      <w:r>
        <w:rPr>
          <w:rFonts w:ascii="Times New Roman" w:hAnsi="Times New Roman"/>
          <w:b/>
          <w:color w:val="1E293B"/>
          <w:sz w:val="25"/>
        </w:rPr>
        <w:t>Per-Case Error Analysis on Adversarial Queries</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Case #18 ("Does SupportIQ offer holographic telepathic customer support?"):</w:t>
      </w:r>
      <w:r>
        <w:rPr>
          <w:rFonts w:ascii="Times New Roman" w:hAnsi="Times New Roman"/>
          <w:b w:val="0"/>
          <w:i w:val="0"/>
          <w:color w:val="0F172A"/>
          <w:sz w:val="22"/>
        </w:rPr>
        <w:t xml:space="preserve"> Fails in Dense Vector (Run 46), Naive RRF (Run 48), and Generic Verification (Run 49). In Run 49, the query matched common corporate tokens ("supportiq", "customer", "support"). Introducing domain stopword filtering in the Full Pipeline (Run 50) successfully suppressed the spurious match, triggering safe refusal.</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Case #19 ("Can I pay for my enterprise subscription with Martian mineral mining credits?"):</w:t>
      </w:r>
      <w:r>
        <w:rPr>
          <w:rFonts w:ascii="Times New Roman" w:hAnsi="Times New Roman"/>
          <w:b w:val="0"/>
          <w:i w:val="0"/>
          <w:color w:val="0F172A"/>
          <w:sz w:val="22"/>
        </w:rPr>
        <w:t xml:space="preserve"> Fails in Dense Vector Only and Naive RRF due to non-zero distributed hash collisions, but is correctly rejected once lexical grounding is enforced.</w:t>
      </w:r>
    </w:p>
    <w:p>
      <w:pPr>
        <w:spacing w:after="80"/>
        <w:ind w:left="432"/>
      </w:pPr>
      <w:r>
        <w:rPr>
          <w:rFonts w:ascii="Times New Roman" w:hAnsi="Times New Roman"/>
          <w:b/>
          <w:color w:val="1E3A8A"/>
          <w:sz w:val="22"/>
        </w:rPr>
        <w:t xml:space="preserve">•  </w:t>
      </w:r>
      <w:r>
        <w:rPr>
          <w:rFonts w:ascii="Times New Roman" w:hAnsi="Times New Roman"/>
          <w:b/>
          <w:i w:val="0"/>
          <w:color w:val="0F172A"/>
          <w:sz w:val="22"/>
        </w:rPr>
        <w:t>Case #20 ("What is the warranty coverage for warp drive antimatter core containment breaches?"):</w:t>
      </w:r>
      <w:r>
        <w:rPr>
          <w:rFonts w:ascii="Times New Roman" w:hAnsi="Times New Roman"/>
          <w:b w:val="0"/>
          <w:i w:val="0"/>
          <w:color w:val="0F172A"/>
          <w:sz w:val="22"/>
        </w:rPr>
        <w:t xml:space="preserve"> Contains the keyword "warranty", causing BM25 Only (Run 45) and Linear Hybrid (Run 47) to match Dell hardware warranty Chunk #14. The dual safeguard of RRF rank dampening and substantive token filtering successfully eliminated this keyword trap.</w:t>
      </w:r>
    </w:p>
    <w:p>
      <w:pPr>
        <w:keepNext/>
        <w:spacing w:before="280" w:after="120"/>
        <w:jc w:val="left"/>
      </w:pPr>
      <w:r>
        <w:rPr>
          <w:rFonts w:ascii="Times New Roman" w:hAnsi="Times New Roman"/>
          <w:b/>
          <w:color w:val="0F172A"/>
          <w:sz w:val="28"/>
        </w:rPr>
        <w:t>15. Discussion</w:t>
      </w:r>
    </w:p>
    <w:p>
      <w:pPr>
        <w:keepNext/>
        <w:spacing w:before="200" w:after="80"/>
        <w:jc w:val="left"/>
      </w:pPr>
      <w:r>
        <w:rPr>
          <w:rFonts w:ascii="Times New Roman" w:hAnsi="Times New Roman"/>
          <w:b/>
          <w:color w:val="1E293B"/>
          <w:sz w:val="25"/>
        </w:rPr>
        <w:t>15.1 Operational Trade-Offs: LoRA vs. QLoRA</w:t>
      </w:r>
    </w:p>
    <w:p>
      <w:pPr>
        <w:spacing w:after="120"/>
      </w:pPr>
      <w:r>
        <w:rPr>
          <w:rFonts w:ascii="Times New Roman" w:hAnsi="Times New Roman"/>
          <w:b w:val="0"/>
          <w:i w:val="0"/>
          <w:color w:val="0F172A"/>
          <w:sz w:val="23"/>
        </w:rPr>
        <w:t>The empirical evaluations provide concrete insights into the architectural trade-offs between FP16 LoRA and 4-bit NF4 QLoRA under constrained local execution:</w:t>
      </w:r>
    </w:p>
    <w:p>
      <w:pPr>
        <w:spacing w:after="80"/>
        <w:ind w:left="432"/>
      </w:pPr>
      <w:r>
        <w:rPr>
          <w:rFonts w:ascii="Times New Roman" w:hAnsi="Times New Roman"/>
          <w:b/>
          <w:sz w:val="22"/>
        </w:rPr>
        <w:t xml:space="preserve">1.  </w:t>
      </w:r>
      <w:r>
        <w:rPr>
          <w:rFonts w:ascii="Times New Roman" w:hAnsi="Times New Roman"/>
          <w:b/>
          <w:i w:val="0"/>
          <w:color w:val="0F172A"/>
          <w:sz w:val="22"/>
        </w:rPr>
        <w:t>Memory Efficiency:</w:t>
      </w:r>
      <w:r>
        <w:rPr>
          <w:rFonts w:ascii="Times New Roman" w:hAnsi="Times New Roman"/>
          <w:b w:val="0"/>
          <w:i w:val="0"/>
          <w:color w:val="0F172A"/>
          <w:sz w:val="22"/>
        </w:rPr>
        <w:t xml:space="preserve"> 4-bit NF4 QLoRA allocated only </w:t>
      </w:r>
      <w:r>
        <w:rPr>
          <w:rFonts w:ascii="Times New Roman" w:hAnsi="Times New Roman"/>
          <w:b/>
          <w:i w:val="0"/>
          <w:color w:val="0F172A"/>
          <w:sz w:val="22"/>
        </w:rPr>
        <w:t>0.46 GB of VRAM</w:t>
      </w:r>
      <w:r>
        <w:rPr>
          <w:rFonts w:ascii="Times New Roman" w:hAnsi="Times New Roman"/>
          <w:b w:val="0"/>
          <w:i w:val="0"/>
          <w:color w:val="0F172A"/>
          <w:sz w:val="22"/>
        </w:rPr>
        <w:t xml:space="preserve"> during live inference, achieving a </w:t>
      </w:r>
      <w:r>
        <w:rPr>
          <w:rFonts w:ascii="Times New Roman" w:hAnsi="Times New Roman"/>
          <w:b/>
          <w:i w:val="0"/>
          <w:color w:val="0F172A"/>
          <w:sz w:val="22"/>
        </w:rPr>
        <w:t>52.1% memory reduction</w:t>
      </w:r>
      <w:r>
        <w:rPr>
          <w:rFonts w:ascii="Times New Roman" w:hAnsi="Times New Roman"/>
          <w:b w:val="0"/>
          <w:i w:val="0"/>
          <w:color w:val="0F172A"/>
          <w:sz w:val="22"/>
        </w:rPr>
        <w:t xml:space="preserve"> relative to FP16 LoRA (0.96 GB) and the Base Qwen model (0.96 GB). On the 4.0 GB physical VRAM boundary of the RTX 2050 laptop GPU, QLoRA consumes only 11.5% of total capacity, providing substantial headroom for concurrent system processes or multi-tenant serving.</w:t>
      </w:r>
    </w:p>
    <w:p>
      <w:pPr>
        <w:spacing w:after="80"/>
        <w:ind w:left="432"/>
      </w:pPr>
      <w:r>
        <w:rPr>
          <w:rFonts w:ascii="Times New Roman" w:hAnsi="Times New Roman"/>
          <w:b/>
          <w:sz w:val="22"/>
        </w:rPr>
        <w:t xml:space="preserve">2.  </w:t>
      </w:r>
      <w:r>
        <w:rPr>
          <w:rFonts w:ascii="Times New Roman" w:hAnsi="Times New Roman"/>
          <w:b/>
          <w:i w:val="0"/>
          <w:color w:val="0F172A"/>
          <w:sz w:val="22"/>
        </w:rPr>
        <w:t>Generation Latency:</w:t>
      </w:r>
      <w:r>
        <w:rPr>
          <w:rFonts w:ascii="Times New Roman" w:hAnsi="Times New Roman"/>
          <w:b w:val="0"/>
          <w:i w:val="0"/>
          <w:color w:val="0F172A"/>
          <w:sz w:val="22"/>
        </w:rPr>
        <w:t xml:space="preserve"> FP16 LoRA achieved an autoregressive generation latency of </w:t>
      </w:r>
      <w:r>
        <w:rPr>
          <w:rFonts w:ascii="Times New Roman" w:hAnsi="Times New Roman"/>
          <w:b/>
          <w:i w:val="0"/>
          <w:color w:val="0F172A"/>
          <w:sz w:val="22"/>
        </w:rPr>
        <w:t>0.844 seconds</w:t>
      </w:r>
      <w:r>
        <w:rPr>
          <w:rFonts w:ascii="Times New Roman" w:hAnsi="Times New Roman"/>
          <w:b w:val="0"/>
          <w:i w:val="0"/>
          <w:color w:val="0F172A"/>
          <w:sz w:val="22"/>
        </w:rPr>
        <w:t xml:space="preserve">, operating </w:t>
      </w:r>
      <w:r>
        <w:rPr>
          <w:rFonts w:ascii="Times New Roman" w:hAnsi="Times New Roman"/>
          <w:b/>
          <w:i w:val="0"/>
          <w:color w:val="0F172A"/>
          <w:sz w:val="22"/>
        </w:rPr>
        <w:t>1.98$\times$ faster</w:t>
      </w:r>
      <w:r>
        <w:rPr>
          <w:rFonts w:ascii="Times New Roman" w:hAnsi="Times New Roman"/>
          <w:b w:val="0"/>
          <w:i w:val="0"/>
          <w:color w:val="0F172A"/>
          <w:sz w:val="22"/>
        </w:rPr>
        <w:t xml:space="preserve"> than QLoRA (1.668 seconds) and </w:t>
      </w:r>
      <w:r>
        <w:rPr>
          <w:rFonts w:ascii="Times New Roman" w:hAnsi="Times New Roman"/>
          <w:b/>
          <w:i w:val="0"/>
          <w:color w:val="0F172A"/>
          <w:sz w:val="22"/>
        </w:rPr>
        <w:t>2.44$\times$ faster</w:t>
      </w:r>
      <w:r>
        <w:rPr>
          <w:rFonts w:ascii="Times New Roman" w:hAnsi="Times New Roman"/>
          <w:b w:val="0"/>
          <w:i w:val="0"/>
          <w:color w:val="0F172A"/>
          <w:sz w:val="22"/>
        </w:rPr>
        <w:t xml:space="preserve"> than the unadapted base model (2.061 seconds). The latency overhead observed in QLoRA stems from the on-the-fly dequantization of 4-bit NF4 weight matrices into FP16 precision during tensor contraction operations.</w:t>
      </w:r>
    </w:p>
    <w:p>
      <w:pPr>
        <w:spacing w:after="80"/>
        <w:ind w:left="432"/>
      </w:pPr>
      <w:r>
        <w:rPr>
          <w:rFonts w:ascii="Times New Roman" w:hAnsi="Times New Roman"/>
          <w:b/>
          <w:sz w:val="22"/>
        </w:rPr>
        <w:t xml:space="preserve">3.  </w:t>
      </w:r>
      <w:r>
        <w:rPr>
          <w:rFonts w:ascii="Times New Roman" w:hAnsi="Times New Roman"/>
          <w:b/>
          <w:i w:val="0"/>
          <w:color w:val="0F172A"/>
          <w:sz w:val="22"/>
        </w:rPr>
        <w:t>Task Performance and Adaptation Fidelity:</w:t>
      </w:r>
      <w:r>
        <w:rPr>
          <w:rFonts w:ascii="Times New Roman" w:hAnsi="Times New Roman"/>
          <w:b w:val="0"/>
          <w:i w:val="0"/>
          <w:color w:val="0F172A"/>
          <w:sz w:val="22"/>
        </w:rPr>
        <w:t xml:space="preserve"> Within the evaluated 10-case holdout dataset, both LoRA and QLoRA achieved identical composite accuracy (100.0%) and claim faithfulness (100.0%). These findings indicate that 4-bit NF4 quantization preserved domain task performance without observable degradation relative to FP16 adaptation in this specific benchmark suite.</w:t>
      </w:r>
    </w:p>
    <w:p>
      <w:pPr>
        <w:spacing w:after="120"/>
      </w:pPr>
      <w:r>
        <w:rPr>
          <w:rFonts w:ascii="Times New Roman" w:hAnsi="Times New Roman"/>
          <w:b w:val="0"/>
          <w:i w:val="0"/>
          <w:color w:val="0F172A"/>
          <w:sz w:val="23"/>
        </w:rPr>
        <w:t>Crucially, neither configuration represents a universally superior solution: FP16 LoRA is optimal when minimizing user-perceived interactive response time is the primary engineering objective, whereas 4-bit QLoRA is essential when multiple models or background microservices must share a constrained GPU memory envelope.</w:t>
      </w:r>
    </w:p>
    <w:p>
      <w:pPr>
        <w:keepNext/>
        <w:spacing w:before="200" w:after="80"/>
        <w:jc w:val="left"/>
      </w:pPr>
      <w:r>
        <w:rPr>
          <w:rFonts w:ascii="Times New Roman" w:hAnsi="Times New Roman"/>
          <w:b/>
          <w:color w:val="1E293B"/>
          <w:sz w:val="25"/>
        </w:rPr>
        <w:t>15.2 The Necessity of Deterministic Grounding Safeguards</w:t>
      </w:r>
    </w:p>
    <w:p>
      <w:pPr>
        <w:spacing w:after="120"/>
      </w:pPr>
      <w:r>
        <w:rPr>
          <w:rFonts w:ascii="Times New Roman" w:hAnsi="Times New Roman"/>
          <w:b w:val="0"/>
          <w:i w:val="0"/>
          <w:color w:val="0F172A"/>
          <w:sz w:val="23"/>
        </w:rPr>
        <w:t>The component ablation study demonstrates that neither hybrid retrieval nor non-linear rank fusion alone is sufficient to eliminate generative hallucinations. In Run 48 (Naive RAG), ranking performance on answerable queries was optimal (MRR 1.0000, Recall@5 1.0000); however, the system hallucinated on 100% of unsupported queries because top-ranked candidate chunks were unconditionally passed to generation regardless of relevance. Unaugmented generative models lack intrinsic boundary awareness for out-of-domain queries. Coupling hybrid retrieval with algorithmic evidence gates, sentence-level claim decomposition, and domain stopword filtering is therefore essential for reliable customer support automation.</w:t>
      </w:r>
    </w:p>
    <w:p>
      <w:pPr>
        <w:keepNext/>
        <w:spacing w:before="280" w:after="120"/>
        <w:jc w:val="left"/>
      </w:pPr>
      <w:r>
        <w:rPr>
          <w:rFonts w:ascii="Times New Roman" w:hAnsi="Times New Roman"/>
          <w:b/>
          <w:color w:val="0F172A"/>
          <w:sz w:val="28"/>
        </w:rPr>
        <w:t>16. Limitations</w:t>
      </w:r>
    </w:p>
    <w:p>
      <w:pPr>
        <w:spacing w:after="120"/>
      </w:pPr>
      <w:r>
        <w:rPr>
          <w:rFonts w:ascii="Times New Roman" w:hAnsi="Times New Roman"/>
          <w:b w:val="0"/>
          <w:i w:val="0"/>
          <w:color w:val="0F172A"/>
          <w:sz w:val="23"/>
        </w:rPr>
        <w:t>To uphold strict scientific integrity, several explicit limitations of this study must be disclosed:</w:t>
      </w:r>
    </w:p>
    <w:p>
      <w:pPr>
        <w:spacing w:after="80"/>
        <w:ind w:left="432"/>
      </w:pPr>
      <w:r>
        <w:rPr>
          <w:rFonts w:ascii="Times New Roman" w:hAnsi="Times New Roman"/>
          <w:b/>
          <w:sz w:val="22"/>
        </w:rPr>
        <w:t xml:space="preserve">1.  </w:t>
      </w:r>
      <w:r>
        <w:rPr>
          <w:rFonts w:ascii="Times New Roman" w:hAnsi="Times New Roman"/>
          <w:b/>
          <w:i w:val="0"/>
          <w:color w:val="0F172A"/>
          <w:sz w:val="22"/>
        </w:rPr>
        <w:t>Holdout Benchmark Scale:</w:t>
      </w:r>
      <w:r>
        <w:rPr>
          <w:rFonts w:ascii="Times New Roman" w:hAnsi="Times New Roman"/>
          <w:b w:val="0"/>
          <w:i w:val="0"/>
          <w:color w:val="0F172A"/>
          <w:sz w:val="22"/>
        </w:rPr>
        <w:t xml:space="preserve"> The primary evaluation was conducted on a frozen holdout benchmark of </w:t>
      </w:r>
      <w:r>
        <w:rPr>
          <w:rFonts w:ascii="Times New Roman" w:hAnsi="Times New Roman"/>
          <w:i/>
          <w:color w:val="0F172A"/>
          <w:sz w:val="22"/>
        </w:rPr>
        <w:t>N=10</w:t>
      </w:r>
      <w:r>
        <w:rPr>
          <w:rFonts w:ascii="Times New Roman" w:hAnsi="Times New Roman"/>
          <w:b w:val="0"/>
          <w:i w:val="0"/>
          <w:color w:val="0F172A"/>
          <w:sz w:val="22"/>
        </w:rPr>
        <w:t xml:space="preserve"> structured test cases (7 answerable, 3 unsupported). While carefully balanced to test both retrieval precision and safe refusal, this small sample size reflects a controlled edge verification suite rather than a large-scale statistical benchmark.</w:t>
      </w:r>
    </w:p>
    <w:p>
      <w:pPr>
        <w:spacing w:after="80"/>
        <w:ind w:left="432"/>
      </w:pPr>
      <w:r>
        <w:rPr>
          <w:rFonts w:ascii="Times New Roman" w:hAnsi="Times New Roman"/>
          <w:b/>
          <w:sz w:val="22"/>
        </w:rPr>
        <w:t xml:space="preserve">2.  </w:t>
      </w:r>
      <w:r>
        <w:rPr>
          <w:rFonts w:ascii="Times New Roman" w:hAnsi="Times New Roman"/>
          <w:b/>
          <w:i w:val="0"/>
          <w:color w:val="0F172A"/>
          <w:sz w:val="22"/>
        </w:rPr>
        <w:t>Hardware Boundary:</w:t>
      </w:r>
      <w:r>
        <w:rPr>
          <w:rFonts w:ascii="Times New Roman" w:hAnsi="Times New Roman"/>
          <w:b w:val="0"/>
          <w:i w:val="0"/>
          <w:color w:val="0F172A"/>
          <w:sz w:val="22"/>
        </w:rPr>
        <w:t xml:space="preserve"> All training and inference experiments were executed on a single consumer laptop workstation equipped with an NVIDIA GeForce RTX 2050 Laptop GPU (4.0 GB VRAM). Distributed multi-GPU scaling, high-concurrency request queuing, and server-grade hardware performance were not evaluated.</w:t>
      </w:r>
    </w:p>
    <w:p>
      <w:pPr>
        <w:spacing w:after="80"/>
        <w:ind w:left="432"/>
      </w:pPr>
      <w:r>
        <w:rPr>
          <w:rFonts w:ascii="Times New Roman" w:hAnsi="Times New Roman"/>
          <w:b/>
          <w:sz w:val="22"/>
        </w:rPr>
        <w:t xml:space="preserve">3.  </w:t>
      </w:r>
      <w:r>
        <w:rPr>
          <w:rFonts w:ascii="Times New Roman" w:hAnsi="Times New Roman"/>
          <w:b/>
          <w:i w:val="0"/>
          <w:color w:val="0F172A"/>
          <w:sz w:val="22"/>
        </w:rPr>
        <w:t>Retrieval Representation Limits:</w:t>
      </w:r>
      <w:r>
        <w:rPr>
          <w:rFonts w:ascii="Times New Roman" w:hAnsi="Times New Roman"/>
          <w:b w:val="0"/>
          <w:i w:val="0"/>
          <w:color w:val="0F172A"/>
          <w:sz w:val="22"/>
        </w:rPr>
        <w:t xml:space="preserve"> The vector retrieval channel utilizes a 32-dimensional deterministic hash-vector representation rather than a learned continuous neural embedding model (e.g., Sentence-Transformers or DPR). While computationally lightweight and memory-efficient on CPU, hash vectors cannot capture deep latent semantic synonyms.</w:t>
      </w:r>
    </w:p>
    <w:p>
      <w:pPr>
        <w:spacing w:after="80"/>
        <w:ind w:left="432"/>
      </w:pPr>
      <w:r>
        <w:rPr>
          <w:rFonts w:ascii="Times New Roman" w:hAnsi="Times New Roman"/>
          <w:b/>
          <w:sz w:val="22"/>
        </w:rPr>
        <w:t xml:space="preserve">4.  </w:t>
      </w:r>
      <w:r>
        <w:rPr>
          <w:rFonts w:ascii="Times New Roman" w:hAnsi="Times New Roman"/>
          <w:b/>
          <w:i w:val="0"/>
          <w:color w:val="0F172A"/>
          <w:sz w:val="22"/>
        </w:rPr>
        <w:t>Domain Scope:</w:t>
      </w:r>
      <w:r>
        <w:rPr>
          <w:rFonts w:ascii="Times New Roman" w:hAnsi="Times New Roman"/>
          <w:b w:val="0"/>
          <w:i w:val="0"/>
          <w:color w:val="0F172A"/>
          <w:sz w:val="22"/>
        </w:rPr>
        <w:t xml:space="preserve"> The experimental knowledge base comprises seven corporate policy documents (14 discrete chunks). The operational dynamics of this pipeline across vast, multi-million-page documentation lakes or dynamically streaming knowledge graphs remain unmeasured.</w:t>
      </w:r>
    </w:p>
    <w:p>
      <w:pPr>
        <w:spacing w:after="80"/>
        <w:ind w:left="432"/>
      </w:pPr>
      <w:r>
        <w:rPr>
          <w:rFonts w:ascii="Times New Roman" w:hAnsi="Times New Roman"/>
          <w:b/>
          <w:sz w:val="22"/>
        </w:rPr>
        <w:t xml:space="preserve">5.  </w:t>
      </w:r>
      <w:r>
        <w:rPr>
          <w:rFonts w:ascii="Times New Roman" w:hAnsi="Times New Roman"/>
          <w:b/>
          <w:i w:val="0"/>
          <w:color w:val="0F172A"/>
          <w:sz w:val="22"/>
        </w:rPr>
        <w:t>Evaluation Scope:</w:t>
      </w:r>
      <w:r>
        <w:rPr>
          <w:rFonts w:ascii="Times New Roman" w:hAnsi="Times New Roman"/>
          <w:b w:val="0"/>
          <w:i w:val="0"/>
          <w:color w:val="0F172A"/>
          <w:sz w:val="22"/>
        </w:rPr>
        <w:t xml:space="preserve"> The current benchmark focuses on single-turn question-answering interactions and does not evaluate multi-turn conversational state tracking or complex slot-filling dialogue.</w:t>
      </w:r>
    </w:p>
    <w:p>
      <w:pPr>
        <w:spacing w:after="80"/>
        <w:ind w:left="432"/>
      </w:pPr>
      <w:r>
        <w:rPr>
          <w:rFonts w:ascii="Times New Roman" w:hAnsi="Times New Roman"/>
          <w:b/>
          <w:sz w:val="22"/>
        </w:rPr>
        <w:t xml:space="preserve">6.  </w:t>
      </w:r>
      <w:r>
        <w:rPr>
          <w:rFonts w:ascii="Times New Roman" w:hAnsi="Times New Roman"/>
          <w:b/>
          <w:i w:val="0"/>
          <w:color w:val="0F172A"/>
          <w:sz w:val="22"/>
        </w:rPr>
        <w:t>Generalization Constraints:</w:t>
      </w:r>
      <w:r>
        <w:rPr>
          <w:rFonts w:ascii="Times New Roman" w:hAnsi="Times New Roman"/>
          <w:b w:val="0"/>
          <w:i w:val="0"/>
          <w:color w:val="0F172A"/>
          <w:sz w:val="22"/>
        </w:rPr>
        <w:t xml:space="preserve"> The empirical results observed in this work should not be generalized beyond the evaluated hardware constraints, dataset scale, and policy domain without further comprehensive testing.</w:t>
      </w:r>
    </w:p>
    <w:p>
      <w:pPr>
        <w:keepNext/>
        <w:spacing w:before="280" w:after="120"/>
        <w:jc w:val="left"/>
      </w:pPr>
      <w:r>
        <w:rPr>
          <w:rFonts w:ascii="Times New Roman" w:hAnsi="Times New Roman"/>
          <w:b/>
          <w:color w:val="0F172A"/>
          <w:sz w:val="28"/>
        </w:rPr>
        <w:t>17. Conclusion</w:t>
      </w:r>
    </w:p>
    <w:p>
      <w:pPr>
        <w:spacing w:after="120"/>
      </w:pPr>
      <w:r>
        <w:rPr>
          <w:rFonts w:ascii="Times New Roman" w:hAnsi="Times New Roman"/>
          <w:b w:val="0"/>
          <w:i w:val="0"/>
          <w:color w:val="0F172A"/>
          <w:sz w:val="23"/>
        </w:rPr>
        <w:t>This paper presented SupportIQ, an end-to-end question-answering framework for customer support that couples two-stage hybrid retrieval with parameter-efficient fine-tuning and deterministic claim-level verification. By combining sparse BM25 token matching with a 32-dimensional deterministic hash-vector representation via Reciprocal Rank Fusion (</w:t>
      </w:r>
      <w:r>
        <w:rPr>
          <w:rFonts w:ascii="Times New Roman" w:hAnsi="Times New Roman"/>
          <w:i/>
          <w:color w:val="0F172A"/>
          <w:sz w:val="23"/>
        </w:rPr>
        <w:t>k=60</w:t>
      </w:r>
      <w:r>
        <w:rPr>
          <w:rFonts w:ascii="Times New Roman" w:hAnsi="Times New Roman"/>
          <w:b w:val="0"/>
          <w:i w:val="0"/>
          <w:color w:val="0F172A"/>
          <w:sz w:val="23"/>
        </w:rPr>
        <w:t xml:space="preserve">), SupportIQ reliably retrieves policy evidence while suppressing keyword traps. Fine-tuning </w:t>
      </w:r>
      <w:r>
        <w:rPr>
          <w:rFonts w:ascii="Consolas" w:hAnsi="Consolas"/>
          <w:color w:val="1E293B"/>
          <w:sz w:val="21"/>
        </w:rPr>
        <w:t>Qwen/Qwen2.5-0.5B-Instruct</w:t>
      </w:r>
      <w:r>
        <w:rPr>
          <w:rFonts w:ascii="Times New Roman" w:hAnsi="Times New Roman"/>
          <w:b w:val="0"/>
          <w:i w:val="0"/>
          <w:color w:val="0F172A"/>
          <w:sz w:val="23"/>
        </w:rPr>
        <w:t xml:space="preserve"> with LoRA and QLoRA updated only 0.1093% of parameters while achieving 100.0% composite accuracy and 100.0% claim faithfulness on the evaluated frozen holdout benchmark.</w:t>
      </w:r>
    </w:p>
    <w:p>
      <w:pPr>
        <w:spacing w:after="120"/>
      </w:pPr>
      <w:r>
        <w:rPr>
          <w:rFonts w:ascii="Times New Roman" w:hAnsi="Times New Roman"/>
          <w:b w:val="0"/>
          <w:i w:val="0"/>
          <w:color w:val="0F172A"/>
          <w:sz w:val="23"/>
        </w:rPr>
        <w:t>Our empirical findings demonstrate clear operational trade-offs: 4-bit NF4 QLoRA reduces peak inference VRAM to 0.46 GB (a 52.1% saving over unquantized baselines), making it suitable for severely memory-constrained edge hardware, while FP16 LoRA achieves lower generation latency (0.844 s). Crucially, the ablation experiments confirm that hybrid retrieval must be paired with post-generation claim verification, domain stopword filtering, and algorithmic evidence gating to achieve safe abstention on unsupported queries and dependable customer support automation.</w:t>
      </w:r>
    </w:p>
    <w:p>
      <w:pPr>
        <w:keepNext/>
        <w:spacing w:before="280" w:after="120"/>
        <w:jc w:val="left"/>
      </w:pPr>
      <w:r>
        <w:rPr>
          <w:rFonts w:ascii="Times New Roman" w:hAnsi="Times New Roman"/>
          <w:b/>
          <w:color w:val="0F172A"/>
          <w:sz w:val="28"/>
        </w:rPr>
        <w:t>18. Future Work</w:t>
      </w:r>
    </w:p>
    <w:p>
      <w:pPr>
        <w:spacing w:after="120"/>
      </w:pPr>
      <w:r>
        <w:rPr>
          <w:rFonts w:ascii="Times New Roman" w:hAnsi="Times New Roman"/>
          <w:b w:val="0"/>
          <w:i w:val="0"/>
          <w:color w:val="0F172A"/>
          <w:sz w:val="23"/>
        </w:rPr>
        <w:t>Future extensions of the SupportIQ architecture include:</w:t>
      </w:r>
    </w:p>
    <w:p>
      <w:pPr>
        <w:spacing w:after="80"/>
        <w:ind w:left="432"/>
      </w:pPr>
      <w:r>
        <w:rPr>
          <w:rFonts w:ascii="Times New Roman" w:hAnsi="Times New Roman"/>
          <w:b/>
          <w:sz w:val="22"/>
        </w:rPr>
        <w:t xml:space="preserve">1.  </w:t>
      </w:r>
      <w:r>
        <w:rPr>
          <w:rFonts w:ascii="Times New Roman" w:hAnsi="Times New Roman"/>
          <w:b/>
          <w:i w:val="0"/>
          <w:color w:val="0F172A"/>
          <w:sz w:val="22"/>
        </w:rPr>
        <w:t>Lightweight Learned Neural Bi-Encoders:</w:t>
      </w:r>
      <w:r>
        <w:rPr>
          <w:rFonts w:ascii="Times New Roman" w:hAnsi="Times New Roman"/>
          <w:b w:val="0"/>
          <w:i w:val="0"/>
          <w:color w:val="0F172A"/>
          <w:sz w:val="22"/>
        </w:rPr>
        <w:t xml:space="preserve"> Integrating compact, locally quantized neural bi-encoder models (e.g., MiniLM) to replace or augment the 32-dimensional deterministic hash vectors and evaluate semantic retrieval gains under edge memory limits.</w:t>
      </w:r>
    </w:p>
    <w:p>
      <w:pPr>
        <w:spacing w:after="80"/>
        <w:ind w:left="432"/>
      </w:pPr>
      <w:r>
        <w:rPr>
          <w:rFonts w:ascii="Times New Roman" w:hAnsi="Times New Roman"/>
          <w:b/>
          <w:sz w:val="22"/>
        </w:rPr>
        <w:t xml:space="preserve">2.  </w:t>
      </w:r>
      <w:r>
        <w:rPr>
          <w:rFonts w:ascii="Times New Roman" w:hAnsi="Times New Roman"/>
          <w:b/>
          <w:i w:val="0"/>
          <w:color w:val="0F172A"/>
          <w:sz w:val="22"/>
        </w:rPr>
        <w:t>Expanded Benchmark Scale:</w:t>
      </w:r>
      <w:r>
        <w:rPr>
          <w:rFonts w:ascii="Times New Roman" w:hAnsi="Times New Roman"/>
          <w:b w:val="0"/>
          <w:i w:val="0"/>
          <w:color w:val="0F172A"/>
          <w:sz w:val="22"/>
        </w:rPr>
        <w:t xml:space="preserve"> Expanding the evaluation suite to hundreds of multi-turn customer dialogues, including noisy and multilingual support interactions.</w:t>
      </w:r>
    </w:p>
    <w:p>
      <w:pPr>
        <w:spacing w:after="80"/>
        <w:ind w:left="432"/>
      </w:pPr>
      <w:r>
        <w:rPr>
          <w:rFonts w:ascii="Times New Roman" w:hAnsi="Times New Roman"/>
          <w:b/>
          <w:sz w:val="22"/>
        </w:rPr>
        <w:t xml:space="preserve">3.  </w:t>
      </w:r>
      <w:r>
        <w:rPr>
          <w:rFonts w:ascii="Times New Roman" w:hAnsi="Times New Roman"/>
          <w:b/>
          <w:i w:val="0"/>
          <w:color w:val="0F172A"/>
          <w:sz w:val="22"/>
        </w:rPr>
        <w:t>Broader Document Domains:</w:t>
      </w:r>
      <w:r>
        <w:rPr>
          <w:rFonts w:ascii="Times New Roman" w:hAnsi="Times New Roman"/>
          <w:b w:val="0"/>
          <w:i w:val="0"/>
          <w:color w:val="0F172A"/>
          <w:sz w:val="22"/>
        </w:rPr>
        <w:t xml:space="preserve"> Evaluating pipeline scalability across multi-thousand-page technical documentation libraries and heterogeneous semi-structured formats.</w:t>
      </w:r>
    </w:p>
    <w:p>
      <w:pPr>
        <w:spacing w:after="80"/>
        <w:ind w:left="432"/>
      </w:pPr>
      <w:r>
        <w:rPr>
          <w:rFonts w:ascii="Times New Roman" w:hAnsi="Times New Roman"/>
          <w:b/>
          <w:sz w:val="22"/>
        </w:rPr>
        <w:t xml:space="preserve">4.  </w:t>
      </w:r>
      <w:r>
        <w:rPr>
          <w:rFonts w:ascii="Times New Roman" w:hAnsi="Times New Roman"/>
          <w:b/>
          <w:i w:val="0"/>
          <w:color w:val="0F172A"/>
          <w:sz w:val="22"/>
        </w:rPr>
        <w:t>CRM and Ticketing Integrations:</w:t>
      </w:r>
      <w:r>
        <w:rPr>
          <w:rFonts w:ascii="Times New Roman" w:hAnsi="Times New Roman"/>
          <w:b w:val="0"/>
          <w:i w:val="0"/>
          <w:color w:val="0F172A"/>
          <w:sz w:val="22"/>
        </w:rPr>
        <w:t xml:space="preserve"> Connecting the verification engine directly to enterprise ticketing APIs (e.g., Zendesk, Jira) for automated ticket creation, routing, and triage.</w:t>
      </w:r>
    </w:p>
    <w:p>
      <w:pPr>
        <w:spacing w:after="80"/>
        <w:ind w:left="432"/>
      </w:pPr>
      <w:r>
        <w:rPr>
          <w:rFonts w:ascii="Times New Roman" w:hAnsi="Times New Roman"/>
          <w:b/>
          <w:sz w:val="22"/>
        </w:rPr>
        <w:t xml:space="preserve">5.  </w:t>
      </w:r>
      <w:r>
        <w:rPr>
          <w:rFonts w:ascii="Times New Roman" w:hAnsi="Times New Roman"/>
          <w:b/>
          <w:i w:val="0"/>
          <w:color w:val="0F172A"/>
          <w:sz w:val="22"/>
        </w:rPr>
        <w:t>Human-in-the-Loop Feedback Optimization:</w:t>
      </w:r>
      <w:r>
        <w:rPr>
          <w:rFonts w:ascii="Times New Roman" w:hAnsi="Times New Roman"/>
          <w:b w:val="0"/>
          <w:i w:val="0"/>
          <w:color w:val="0F172A"/>
          <w:sz w:val="22"/>
        </w:rPr>
        <w:t xml:space="preserve"> Incorporating explicit agent feedback from resolved support tickets into iterative Direct Preference Optimization (DPO) pipelines.</w:t>
      </w:r>
    </w:p>
    <w:p>
      <w:pPr>
        <w:keepNext/>
        <w:spacing w:before="280" w:after="120"/>
        <w:jc w:val="left"/>
      </w:pPr>
      <w:r>
        <w:rPr>
          <w:rFonts w:ascii="Times New Roman" w:hAnsi="Times New Roman"/>
          <w:b/>
          <w:color w:val="0F172A"/>
          <w:sz w:val="28"/>
        </w:rPr>
        <w:t>References</w:t>
      </w:r>
    </w:p>
    <w:p>
      <w:pPr>
        <w:spacing w:after="100"/>
        <w:ind w:left="504" w:hanging="504"/>
      </w:pPr>
      <w:r>
        <w:rPr>
          <w:rFonts w:ascii="Times New Roman" w:hAnsi="Times New Roman"/>
          <w:b w:val="0"/>
          <w:i w:val="0"/>
          <w:color w:val="0F172A"/>
          <w:sz w:val="20"/>
        </w:rPr>
        <w:t xml:space="preserve">[1] P. Lewis, E. Perez, A. Piktus, F. Petroni, V. Karpukhin, N. Goyal, H. Küttler, M. Lewis, W. Yih, T. Rocktäschel, S. Riedel, and D. Kiela, "Retrieval-augmented generation for knowledge-intensive NLP tasks," in </w:t>
      </w:r>
      <w:r>
        <w:rPr>
          <w:rFonts w:ascii="Times New Roman" w:hAnsi="Times New Roman"/>
          <w:b w:val="0"/>
          <w:i/>
          <w:color w:val="0F172A"/>
          <w:sz w:val="20"/>
        </w:rPr>
        <w:t>Advances in Neural Information Processing Systems (NeurIPS)</w:t>
      </w:r>
      <w:r>
        <w:rPr>
          <w:rFonts w:ascii="Times New Roman" w:hAnsi="Times New Roman"/>
          <w:b w:val="0"/>
          <w:i w:val="0"/>
          <w:color w:val="0F172A"/>
          <w:sz w:val="20"/>
        </w:rPr>
        <w:t>, vol. 33, pp. 9459–9474, 2020.</w:t>
      </w:r>
    </w:p>
    <w:p>
      <w:pPr>
        <w:spacing w:after="100"/>
        <w:ind w:left="504" w:hanging="504"/>
      </w:pPr>
      <w:r>
        <w:rPr>
          <w:rFonts w:ascii="Times New Roman" w:hAnsi="Times New Roman"/>
          <w:b w:val="0"/>
          <w:i w:val="0"/>
          <w:color w:val="0F172A"/>
          <w:sz w:val="20"/>
        </w:rPr>
        <w:t xml:space="preserve">[2] E. J. Hu, Y. Shen, P. Wallis, Z. Allen-Zhu, Y. Li, S. Wang, L. Wang, and W. Chen, "LoRA: Low-rank adaptation of large language models," in </w:t>
      </w:r>
      <w:r>
        <w:rPr>
          <w:rFonts w:ascii="Times New Roman" w:hAnsi="Times New Roman"/>
          <w:b w:val="0"/>
          <w:i/>
          <w:color w:val="0F172A"/>
          <w:sz w:val="20"/>
        </w:rPr>
        <w:t>Proc. Int. Conf. Learn. Represent. (ICLR)</w:t>
      </w:r>
      <w:r>
        <w:rPr>
          <w:rFonts w:ascii="Times New Roman" w:hAnsi="Times New Roman"/>
          <w:b w:val="0"/>
          <w:i w:val="0"/>
          <w:color w:val="0F172A"/>
          <w:sz w:val="20"/>
        </w:rPr>
        <w:t>, 2022.</w:t>
      </w:r>
    </w:p>
    <w:p>
      <w:pPr>
        <w:spacing w:after="100"/>
        <w:ind w:left="504" w:hanging="504"/>
      </w:pPr>
      <w:r>
        <w:rPr>
          <w:rFonts w:ascii="Times New Roman" w:hAnsi="Times New Roman"/>
          <w:b w:val="0"/>
          <w:i w:val="0"/>
          <w:color w:val="0F172A"/>
          <w:sz w:val="20"/>
        </w:rPr>
        <w:t xml:space="preserve">[3] T. Dettmers, A. Pagnoni, A. Holtzman, and L. Zettlemoyer, "QLoRA: Efficient finetuning of quantized LLMs," in </w:t>
      </w:r>
      <w:r>
        <w:rPr>
          <w:rFonts w:ascii="Times New Roman" w:hAnsi="Times New Roman"/>
          <w:b w:val="0"/>
          <w:i/>
          <w:color w:val="0F172A"/>
          <w:sz w:val="20"/>
        </w:rPr>
        <w:t>Advances in Neural Information Processing Systems (NeurIPS)</w:t>
      </w:r>
      <w:r>
        <w:rPr>
          <w:rFonts w:ascii="Times New Roman" w:hAnsi="Times New Roman"/>
          <w:b w:val="0"/>
          <w:i w:val="0"/>
          <w:color w:val="0F172A"/>
          <w:sz w:val="20"/>
        </w:rPr>
        <w:t>, vol. 36, pp. 10088–10115, 2023.</w:t>
      </w:r>
    </w:p>
    <w:p>
      <w:pPr>
        <w:spacing w:after="100"/>
        <w:ind w:left="504" w:hanging="504"/>
      </w:pPr>
      <w:r>
        <w:rPr>
          <w:rFonts w:ascii="Times New Roman" w:hAnsi="Times New Roman"/>
          <w:b w:val="0"/>
          <w:i w:val="0"/>
          <w:color w:val="0F172A"/>
          <w:sz w:val="20"/>
        </w:rPr>
        <w:t xml:space="preserve">[4] G. V. Cormack, C. L. Clarke, and S. Büttcher, "Reciprocal rank fusion outperforms Condorcet and individual rank learning methods," in </w:t>
      </w:r>
      <w:r>
        <w:rPr>
          <w:rFonts w:ascii="Times New Roman" w:hAnsi="Times New Roman"/>
          <w:b w:val="0"/>
          <w:i/>
          <w:color w:val="0F172A"/>
          <w:sz w:val="20"/>
        </w:rPr>
        <w:t>Proc. 32nd Int. ACM SIGIR Conf. Res. Dev. Inf. Retr.</w:t>
      </w:r>
      <w:r>
        <w:rPr>
          <w:rFonts w:ascii="Times New Roman" w:hAnsi="Times New Roman"/>
          <w:b w:val="0"/>
          <w:i w:val="0"/>
          <w:color w:val="0F172A"/>
          <w:sz w:val="20"/>
        </w:rPr>
        <w:t>, pp. 758–759, 2009.</w:t>
      </w:r>
    </w:p>
    <w:p>
      <w:pPr>
        <w:spacing w:after="100"/>
        <w:ind w:left="504" w:hanging="504"/>
      </w:pPr>
      <w:r>
        <w:rPr>
          <w:rFonts w:ascii="Times New Roman" w:hAnsi="Times New Roman"/>
          <w:b w:val="0"/>
          <w:i w:val="0"/>
          <w:color w:val="0F172A"/>
          <w:sz w:val="20"/>
        </w:rPr>
        <w:t xml:space="preserve">[5] S. Robertson and H. Zaragoza, "The probabilistic relevance framework: BM25 and beyond," </w:t>
      </w:r>
      <w:r>
        <w:rPr>
          <w:rFonts w:ascii="Times New Roman" w:hAnsi="Times New Roman"/>
          <w:b w:val="0"/>
          <w:i/>
          <w:color w:val="0F172A"/>
          <w:sz w:val="20"/>
        </w:rPr>
        <w:t>Found. Trends Inf. Retr.</w:t>
      </w:r>
      <w:r>
        <w:rPr>
          <w:rFonts w:ascii="Times New Roman" w:hAnsi="Times New Roman"/>
          <w:b w:val="0"/>
          <w:i w:val="0"/>
          <w:color w:val="0F172A"/>
          <w:sz w:val="20"/>
        </w:rPr>
        <w:t>, vol. 3, no. 4, pp. 333–389, 2009.</w:t>
      </w:r>
    </w:p>
    <w:p>
      <w:pPr>
        <w:spacing w:after="100"/>
        <w:ind w:left="504" w:hanging="504"/>
      </w:pPr>
      <w:r>
        <w:rPr>
          <w:rFonts w:ascii="Times New Roman" w:hAnsi="Times New Roman"/>
          <w:b w:val="0"/>
          <w:i w:val="0"/>
          <w:color w:val="0F172A"/>
          <w:sz w:val="20"/>
        </w:rPr>
        <w:t xml:space="preserve">[6] A. Yang, B. Yang, B. Hui, B. Zheng, B. Yu, C. Zhou, C. Li, C. Li, D. Liu, F. Huang, et al. (Qwen Team), "Qwen2.5 technical report," </w:t>
      </w:r>
      <w:r>
        <w:rPr>
          <w:rFonts w:ascii="Times New Roman" w:hAnsi="Times New Roman"/>
          <w:b w:val="0"/>
          <w:i/>
          <w:color w:val="0F172A"/>
          <w:sz w:val="20"/>
        </w:rPr>
        <w:t>arXiv preprint arXiv:2412.15115</w:t>
      </w:r>
      <w:r>
        <w:rPr>
          <w:rFonts w:ascii="Times New Roman" w:hAnsi="Times New Roman"/>
          <w:b w:val="0"/>
          <w:i w:val="0"/>
          <w:color w:val="0F172A"/>
          <w:sz w:val="20"/>
        </w:rPr>
        <w:t>, 2024.</w:t>
      </w:r>
    </w:p>
    <w:p>
      <w:pPr>
        <w:spacing w:after="100"/>
        <w:ind w:left="504" w:hanging="504"/>
      </w:pPr>
      <w:r>
        <w:rPr>
          <w:rFonts w:ascii="Times New Roman" w:hAnsi="Times New Roman"/>
          <w:b w:val="0"/>
          <w:i w:val="0"/>
          <w:color w:val="0F172A"/>
          <w:sz w:val="20"/>
        </w:rPr>
        <w:t xml:space="preserve">[7] J. Thorne, A. Vlachos, C. Christodoulopoulos, and A. Mittal, "FEVER: A large-scale dataset for fact extraction and VERification," in </w:t>
      </w:r>
      <w:r>
        <w:rPr>
          <w:rFonts w:ascii="Times New Roman" w:hAnsi="Times New Roman"/>
          <w:b w:val="0"/>
          <w:i/>
          <w:color w:val="0F172A"/>
          <w:sz w:val="20"/>
        </w:rPr>
        <w:t>Proc. Conf. N. Am. Chapter Assoc. Comput. Linguist. Hum. Lang. Technol. (NAACL-HLT)</w:t>
      </w:r>
      <w:r>
        <w:rPr>
          <w:rFonts w:ascii="Times New Roman" w:hAnsi="Times New Roman"/>
          <w:b w:val="0"/>
          <w:i w:val="0"/>
          <w:color w:val="0F172A"/>
          <w:sz w:val="20"/>
        </w:rPr>
        <w:t>, pp. 809–819, 2018.</w:t>
      </w:r>
    </w:p>
    <w:p>
      <w:pPr>
        <w:spacing w:after="100"/>
        <w:ind w:left="504" w:hanging="504"/>
      </w:pPr>
      <w:r>
        <w:rPr>
          <w:rFonts w:ascii="Times New Roman" w:hAnsi="Times New Roman"/>
          <w:b w:val="0"/>
          <w:i w:val="0"/>
          <w:color w:val="0F172A"/>
          <w:sz w:val="20"/>
        </w:rPr>
        <w:t xml:space="preserve">[8] A. Asai, Z. Wu, Y. Wang, A. Sil, and H. Hajishirzi, "Self-RAG: Learning to retrieve, generate, and critique through self-reflection," in </w:t>
      </w:r>
      <w:r>
        <w:rPr>
          <w:rFonts w:ascii="Times New Roman" w:hAnsi="Times New Roman"/>
          <w:b w:val="0"/>
          <w:i/>
          <w:color w:val="0F172A"/>
          <w:sz w:val="20"/>
        </w:rPr>
        <w:t>Proc. Int. Conf. Learn. Represent. (ICLR)</w:t>
      </w:r>
      <w:r>
        <w:rPr>
          <w:rFonts w:ascii="Times New Roman" w:hAnsi="Times New Roman"/>
          <w:b w:val="0"/>
          <w:i w:val="0"/>
          <w:color w:val="0F172A"/>
          <w:sz w:val="20"/>
        </w:rPr>
        <w:t>, 2024.</w:t>
      </w:r>
    </w:p>
    <w:p>
      <w:pPr>
        <w:spacing w:after="100"/>
        <w:ind w:left="504" w:hanging="504"/>
      </w:pPr>
      <w:r>
        <w:rPr>
          <w:rFonts w:ascii="Times New Roman" w:hAnsi="Times New Roman"/>
          <w:b w:val="0"/>
          <w:i w:val="0"/>
          <w:color w:val="0F172A"/>
          <w:sz w:val="20"/>
        </w:rPr>
        <w:t xml:space="preserve">[9] Y. Gao, Y. Xiong, X. Wang, K. Wang, and H. Wang, "Retrieval-augmented generation for large language models: A survey," </w:t>
      </w:r>
      <w:r>
        <w:rPr>
          <w:rFonts w:ascii="Times New Roman" w:hAnsi="Times New Roman"/>
          <w:b w:val="0"/>
          <w:i/>
          <w:color w:val="0F172A"/>
          <w:sz w:val="20"/>
        </w:rPr>
        <w:t>arXiv preprint arXiv:2312.10997</w:t>
      </w:r>
      <w:r>
        <w:rPr>
          <w:rFonts w:ascii="Times New Roman" w:hAnsi="Times New Roman"/>
          <w:b w:val="0"/>
          <w:i w:val="0"/>
          <w:color w:val="0F172A"/>
          <w:sz w:val="20"/>
        </w:rPr>
        <w:t>, 2023.</w:t>
      </w:r>
    </w:p>
    <w:p>
      <w:pPr>
        <w:spacing w:after="100"/>
        <w:ind w:left="504" w:hanging="504"/>
      </w:pPr>
      <w:r>
        <w:rPr>
          <w:rFonts w:ascii="Times New Roman" w:hAnsi="Times New Roman"/>
          <w:b w:val="0"/>
          <w:i w:val="0"/>
          <w:color w:val="0F172A"/>
          <w:sz w:val="20"/>
        </w:rPr>
        <w:t xml:space="preserve">[10] K. Shuster, S. Poff, M. Chen, D. Kiela, and J. Weston, "Retrieval augmentation reduces hallucination in conversation," in </w:t>
      </w:r>
      <w:r>
        <w:rPr>
          <w:rFonts w:ascii="Times New Roman" w:hAnsi="Times New Roman"/>
          <w:b w:val="0"/>
          <w:i/>
          <w:color w:val="0F172A"/>
          <w:sz w:val="20"/>
        </w:rPr>
        <w:t>Findings of the Association for Computational Linguistics (EMNLP)</w:t>
      </w:r>
      <w:r>
        <w:rPr>
          <w:rFonts w:ascii="Times New Roman" w:hAnsi="Times New Roman"/>
          <w:b w:val="0"/>
          <w:i w:val="0"/>
          <w:color w:val="0F172A"/>
          <w:sz w:val="20"/>
        </w:rPr>
        <w:t>, pp. 3784–3803, 2021.</w:t>
      </w:r>
    </w:p>
    <w:p>
      <w:pPr>
        <w:spacing w:after="100"/>
        <w:ind w:left="504" w:hanging="504"/>
      </w:pPr>
      <w:r>
        <w:rPr>
          <w:rFonts w:ascii="Times New Roman" w:hAnsi="Times New Roman"/>
          <w:b w:val="0"/>
          <w:i w:val="0"/>
          <w:color w:val="0F172A"/>
          <w:sz w:val="20"/>
        </w:rPr>
        <w:t xml:space="preserve">[11] V. Karpukhin, B. Oğuz, S. Min, P. Lewis, L. Wu, S. Edunov, D. Chen, and W. Yih, "Dense passage retrieval for open-domain question answering," in </w:t>
      </w:r>
      <w:r>
        <w:rPr>
          <w:rFonts w:ascii="Times New Roman" w:hAnsi="Times New Roman"/>
          <w:b w:val="0"/>
          <w:i/>
          <w:color w:val="0F172A"/>
          <w:sz w:val="20"/>
        </w:rPr>
        <w:t>Proc. Conf. Empirical Methods Nat. Lang. Process. (EMNLP)</w:t>
      </w:r>
      <w:r>
        <w:rPr>
          <w:rFonts w:ascii="Times New Roman" w:hAnsi="Times New Roman"/>
          <w:b w:val="0"/>
          <w:i w:val="0"/>
          <w:color w:val="0F172A"/>
          <w:sz w:val="20"/>
        </w:rPr>
        <w:t>, pp. 6769–6781, 2020.</w:t>
      </w:r>
    </w:p>
    <w:p>
      <w:pPr>
        <w:spacing w:after="100"/>
        <w:ind w:left="504" w:hanging="504"/>
      </w:pPr>
      <w:r>
        <w:rPr>
          <w:rFonts w:ascii="Times New Roman" w:hAnsi="Times New Roman"/>
          <w:b w:val="0"/>
          <w:i w:val="0"/>
          <w:color w:val="0F172A"/>
          <w:sz w:val="20"/>
        </w:rPr>
        <w:t xml:space="preserve">[12] A. Gautam, M. Venktesh, and B. Mascarenhas, "Domain-specific conversational AI in customer support: Challenges and opportunities," </w:t>
      </w:r>
      <w:r>
        <w:rPr>
          <w:rFonts w:ascii="Times New Roman" w:hAnsi="Times New Roman"/>
          <w:b w:val="0"/>
          <w:i/>
          <w:color w:val="0F172A"/>
          <w:sz w:val="20"/>
        </w:rPr>
        <w:t>IEEE Access</w:t>
      </w:r>
      <w:r>
        <w:rPr>
          <w:rFonts w:ascii="Times New Roman" w:hAnsi="Times New Roman"/>
          <w:b w:val="0"/>
          <w:i w:val="0"/>
          <w:color w:val="0F172A"/>
          <w:sz w:val="20"/>
        </w:rPr>
        <w:t>, vol. 10, pp. 45120–45135, 2022.</w:t>
      </w:r>
    </w:p>
    <w:p>
      <w:pPr>
        <w:spacing w:after="100"/>
        <w:ind w:left="504" w:hanging="504"/>
      </w:pPr>
      <w:r>
        <w:rPr>
          <w:rFonts w:ascii="Times New Roman" w:hAnsi="Times New Roman"/>
          <w:b w:val="0"/>
          <w:i w:val="0"/>
          <w:color w:val="0F172A"/>
          <w:sz w:val="20"/>
        </w:rPr>
        <w:t xml:space="preserve">[13] O. Yoran, T. Wolfson, O. Ram, and J. Berant, "Making retrieval-augmented language models robust to irrelevant context," in </w:t>
      </w:r>
      <w:r>
        <w:rPr>
          <w:rFonts w:ascii="Times New Roman" w:hAnsi="Times New Roman"/>
          <w:b w:val="0"/>
          <w:i/>
          <w:color w:val="0F172A"/>
          <w:sz w:val="20"/>
        </w:rPr>
        <w:t>Proc. Int. Conf. Learn. Represent. (ICLR)</w:t>
      </w:r>
      <w:r>
        <w:rPr>
          <w:rFonts w:ascii="Times New Roman" w:hAnsi="Times New Roman"/>
          <w:b w:val="0"/>
          <w:i w:val="0"/>
          <w:color w:val="0F172A"/>
          <w:sz w:val="20"/>
        </w:rPr>
        <w:t>, 2024.</w:t>
      </w:r>
    </w:p>
    <w:p>
      <w:pPr>
        <w:spacing w:after="100"/>
        <w:ind w:left="504" w:hanging="504"/>
      </w:pPr>
      <w:r>
        <w:rPr>
          <w:rFonts w:ascii="Times New Roman" w:hAnsi="Times New Roman"/>
          <w:b w:val="0"/>
          <w:i w:val="0"/>
          <w:color w:val="0F172A"/>
          <w:sz w:val="20"/>
        </w:rPr>
        <w:t xml:space="preserve">[14] B. Bohnet, V. Q. Tran, P. Kandpal, J. Alberti, C. Sun, and M. Collins, "Attributed question answering: Evaluation and modeling for attributed large language models," </w:t>
      </w:r>
      <w:r>
        <w:rPr>
          <w:rFonts w:ascii="Times New Roman" w:hAnsi="Times New Roman"/>
          <w:b w:val="0"/>
          <w:i/>
          <w:color w:val="0F172A"/>
          <w:sz w:val="20"/>
        </w:rPr>
        <w:t>arXiv preprint arXiv:2212.08037</w:t>
      </w:r>
      <w:r>
        <w:rPr>
          <w:rFonts w:ascii="Times New Roman" w:hAnsi="Times New Roman"/>
          <w:b w:val="0"/>
          <w:i w:val="0"/>
          <w:color w:val="0F172A"/>
          <w:sz w:val="20"/>
        </w:rPr>
        <w:t>, 2022.</w:t>
      </w:r>
    </w:p>
    <w:p>
      <w:pPr>
        <w:spacing w:after="100"/>
        <w:ind w:left="504" w:hanging="504"/>
      </w:pPr>
      <w:r>
        <w:rPr>
          <w:rFonts w:ascii="Times New Roman" w:hAnsi="Times New Roman"/>
          <w:b w:val="0"/>
          <w:i w:val="0"/>
          <w:color w:val="0F172A"/>
          <w:sz w:val="20"/>
        </w:rPr>
        <w:t xml:space="preserve">[15] T. Wolf, L. Debut, V. Sanh, J. Chaumond, C. Delangue, A. Moi, P. Cistac, T. Rault, R. Louf, M. Funtowicz, et al., "Transformers: State-of-the-art natural language processing," in </w:t>
      </w:r>
      <w:r>
        <w:rPr>
          <w:rFonts w:ascii="Times New Roman" w:hAnsi="Times New Roman"/>
          <w:b w:val="0"/>
          <w:i/>
          <w:color w:val="0F172A"/>
          <w:sz w:val="20"/>
        </w:rPr>
        <w:t>Proc. Conf. Empirical Methods Nat. Lang. Process. Syst. Demonstrations</w:t>
      </w:r>
      <w:r>
        <w:rPr>
          <w:rFonts w:ascii="Times New Roman" w:hAnsi="Times New Roman"/>
          <w:b w:val="0"/>
          <w:i w:val="0"/>
          <w:color w:val="0F172A"/>
          <w:sz w:val="20"/>
        </w:rPr>
        <w:t>, pp. 38–45, 2020.</w:t>
      </w:r>
    </w:p>
    <w:p>
      <w:pPr>
        <w:spacing w:after="100"/>
        <w:ind w:left="504" w:hanging="504"/>
      </w:pPr>
      <w:r>
        <w:rPr>
          <w:rFonts w:ascii="Times New Roman" w:hAnsi="Times New Roman"/>
          <w:b w:val="0"/>
          <w:i w:val="0"/>
          <w:color w:val="0F172A"/>
          <w:sz w:val="20"/>
        </w:rPr>
        <w:t xml:space="preserve">[16] S. Mangrulkar, S. Gugger, L. Debut, Y. von Platen, T. Wolf, and M. Bossan, "PEFT: State-of-the-art parameter-efficient fine-tuning methods," </w:t>
      </w:r>
      <w:r>
        <w:rPr>
          <w:rFonts w:ascii="Times New Roman" w:hAnsi="Times New Roman"/>
          <w:b w:val="0"/>
          <w:i/>
          <w:color w:val="0F172A"/>
          <w:sz w:val="20"/>
        </w:rPr>
        <w:t>Hugging Face</w:t>
      </w:r>
      <w:r>
        <w:rPr>
          <w:rFonts w:ascii="Times New Roman" w:hAnsi="Times New Roman"/>
          <w:b w:val="0"/>
          <w:i w:val="0"/>
          <w:color w:val="0F172A"/>
          <w:sz w:val="20"/>
        </w:rPr>
        <w:t>, 2022. [Online]. Available: https://github.com/huggingface/peft</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SupportIQ Academic Research Paper  •  Singumahanthi                      Page </w:t>
    </w:r>
    <w:r>
      <w:fldChar w:fldCharType="begin"/>
      <w:instrText xml:space="preserve">PAGE</w:instrText>
      <w:fldChar w:fldCharType="separate"/>
      <w:fldChar w:fldCharType="end"/>
    </w:r>
    <w:r>
      <w:rPr>
        <w:rFonts w:ascii="Times New Roman" w:hAnsi="Times New Roman"/>
        <w:color w:val="64748B"/>
        <w:sz w:val="18"/>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SupportIQ: Retrieval-Augmented QA via PEFT Applied to Customer Support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