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F5" w:rsidRPr="00E04ABE" w:rsidRDefault="00595AF5" w:rsidP="00E11692">
      <w:pPr>
        <w:autoSpaceDE w:val="0"/>
        <w:autoSpaceDN w:val="0"/>
        <w:adjustRightInd w:val="0"/>
        <w:spacing w:after="0"/>
        <w:rPr>
          <w:rFonts w:ascii="Times New Roman" w:hAnsi="Times New Roman"/>
        </w:rPr>
      </w:pPr>
    </w:p>
    <w:p w:rsidR="00E04ABE" w:rsidRPr="00E04ABE" w:rsidRDefault="00E04ABE" w:rsidP="00E11692">
      <w:pPr>
        <w:autoSpaceDE w:val="0"/>
        <w:autoSpaceDN w:val="0"/>
        <w:adjustRightInd w:val="0"/>
        <w:spacing w:after="0"/>
        <w:rPr>
          <w:rFonts w:ascii="Times New Roman" w:eastAsia="Times New Roman" w:hAnsi="Times New Roman"/>
          <w:b/>
          <w:noProof/>
          <w:color w:val="000000"/>
          <w:sz w:val="24"/>
          <w:szCs w:val="24"/>
          <w:lang w:eastAsia="nl-NL"/>
        </w:rPr>
      </w:pPr>
      <w:r w:rsidRPr="00E04ABE">
        <w:rPr>
          <w:rFonts w:ascii="Times New Roman" w:hAnsi="Times New Roman"/>
          <w:b/>
        </w:rPr>
        <w:t>Table 2, Title: Heart rate variability features</w:t>
      </w:r>
    </w:p>
    <w:tbl>
      <w:tblPr>
        <w:tblW w:w="10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1"/>
        <w:gridCol w:w="3686"/>
        <w:gridCol w:w="5168"/>
      </w:tblGrid>
      <w:tr w:rsidR="00595AF5" w:rsidRPr="00E04ABE" w:rsidTr="0016743B">
        <w:trPr>
          <w:trHeight w:val="583"/>
        </w:trPr>
        <w:tc>
          <w:tcPr>
            <w:tcW w:w="1701" w:type="dxa"/>
            <w:tcBorders>
              <w:left w:val="single" w:sz="4" w:space="0" w:color="auto"/>
              <w:bottom w:val="single" w:sz="4" w:space="0" w:color="auto"/>
              <w:right w:val="nil"/>
            </w:tcBorders>
          </w:tcPr>
          <w:p w:rsidR="00595AF5" w:rsidRPr="00E04ABE" w:rsidRDefault="00595AF5" w:rsidP="00595AF5">
            <w:pPr>
              <w:spacing w:line="360" w:lineRule="auto"/>
              <w:jc w:val="center"/>
              <w:rPr>
                <w:rFonts w:ascii="Times New Roman" w:hAnsi="Times New Roman"/>
                <w:b/>
                <w:noProof/>
                <w:sz w:val="24"/>
                <w:szCs w:val="24"/>
                <w:lang w:eastAsia="nl-NL"/>
              </w:rPr>
            </w:pPr>
            <w:r w:rsidRPr="00E04ABE">
              <w:rPr>
                <w:rFonts w:ascii="Times New Roman" w:hAnsi="Times New Roman"/>
                <w:b/>
                <w:noProof/>
                <w:sz w:val="24"/>
                <w:szCs w:val="24"/>
                <w:lang w:eastAsia="nl-NL"/>
              </w:rPr>
              <w:t>Feature [unit]</w:t>
            </w:r>
          </w:p>
        </w:tc>
        <w:tc>
          <w:tcPr>
            <w:tcW w:w="3686" w:type="dxa"/>
            <w:tcBorders>
              <w:left w:val="nil"/>
              <w:bottom w:val="single" w:sz="4" w:space="0" w:color="auto"/>
              <w:right w:val="nil"/>
            </w:tcBorders>
          </w:tcPr>
          <w:p w:rsidR="00595AF5" w:rsidRPr="00E04ABE" w:rsidRDefault="00595AF5" w:rsidP="00595AF5">
            <w:pPr>
              <w:spacing w:line="360" w:lineRule="auto"/>
              <w:jc w:val="center"/>
              <w:rPr>
                <w:rFonts w:ascii="Times New Roman" w:hAnsi="Times New Roman"/>
                <w:b/>
                <w:noProof/>
                <w:sz w:val="24"/>
                <w:szCs w:val="24"/>
                <w:lang w:eastAsia="nl-NL"/>
              </w:rPr>
            </w:pPr>
            <w:r w:rsidRPr="00E04ABE">
              <w:rPr>
                <w:rFonts w:ascii="Times New Roman" w:hAnsi="Times New Roman"/>
                <w:b/>
                <w:noProof/>
                <w:sz w:val="24"/>
                <w:szCs w:val="24"/>
                <w:lang w:eastAsia="nl-NL"/>
              </w:rPr>
              <w:t>Description</w:t>
            </w:r>
          </w:p>
        </w:tc>
        <w:tc>
          <w:tcPr>
            <w:tcW w:w="5168" w:type="dxa"/>
            <w:tcBorders>
              <w:left w:val="nil"/>
              <w:bottom w:val="single" w:sz="4" w:space="0" w:color="auto"/>
              <w:right w:val="single" w:sz="4" w:space="0" w:color="auto"/>
            </w:tcBorders>
          </w:tcPr>
          <w:p w:rsidR="00595AF5" w:rsidRPr="00E04ABE" w:rsidRDefault="00595AF5" w:rsidP="00595AF5">
            <w:pPr>
              <w:spacing w:line="360" w:lineRule="auto"/>
              <w:jc w:val="center"/>
              <w:rPr>
                <w:rFonts w:ascii="Times New Roman" w:hAnsi="Times New Roman"/>
                <w:b/>
                <w:noProof/>
                <w:sz w:val="24"/>
                <w:szCs w:val="24"/>
                <w:lang w:eastAsia="nl-NL"/>
              </w:rPr>
            </w:pPr>
            <w:r w:rsidRPr="00E04ABE">
              <w:rPr>
                <w:rFonts w:ascii="Times New Roman" w:hAnsi="Times New Roman"/>
                <w:b/>
                <w:noProof/>
                <w:sz w:val="24"/>
                <w:szCs w:val="24"/>
                <w:lang w:eastAsia="nl-NL"/>
              </w:rPr>
              <w:t>Connotation</w:t>
            </w:r>
          </w:p>
        </w:tc>
      </w:tr>
      <w:tr w:rsidR="00595AF5" w:rsidRPr="00E04ABE" w:rsidTr="00E04ABE">
        <w:tc>
          <w:tcPr>
            <w:tcW w:w="1701" w:type="dxa"/>
            <w:tcBorders>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BpE</w:t>
            </w:r>
          </w:p>
        </w:tc>
        <w:tc>
          <w:tcPr>
            <w:tcW w:w="3686" w:type="dxa"/>
            <w:tcBorders>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Beats per Epoch</w:t>
            </w:r>
          </w:p>
        </w:tc>
        <w:tc>
          <w:tcPr>
            <w:tcW w:w="5168" w:type="dxa"/>
            <w:tcBorders>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ECG R-R intervals detection due to noise is reflected. If ECG is noise distorted, BpE decrease . This moslty appears during AS and wake. Longer heart rate is reflected when long term windowed. </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TotPow [</w:t>
            </w:r>
            <w:r w:rsidRPr="00E04ABE">
              <w:rPr>
                <w:rFonts w:ascii="Times New Roman" w:hAnsi="Times New Roman"/>
                <w:sz w:val="20"/>
                <w:szCs w:val="20"/>
              </w:rPr>
              <w:t>ms</w:t>
            </w:r>
            <w:r w:rsidRPr="00E04ABE">
              <w:rPr>
                <w:rFonts w:ascii="Times New Roman" w:hAnsi="Times New Roman"/>
                <w:sz w:val="20"/>
                <w:szCs w:val="20"/>
                <w:vertAlign w:val="superscript"/>
              </w:rPr>
              <w:t>2</w:t>
            </w:r>
            <w:r w:rsidRPr="00E04ABE">
              <w:rPr>
                <w:rFonts w:ascii="Times New Roman" w:hAnsi="Times New Roman"/>
                <w:noProof/>
                <w:sz w:val="24"/>
                <w:szCs w:val="24"/>
                <w:lang w:eastAsia="nl-NL"/>
              </w:rPr>
              <w:t>]</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Total power or variance of NN intervals of a defined window size.</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Reflects overal heart rate variability </w:t>
            </w:r>
            <w:r w:rsidRPr="00E04ABE">
              <w:rPr>
                <w:rFonts w:ascii="Times New Roman" w:hAnsi="Times New Roman"/>
                <w:b/>
                <w:noProof/>
                <w:sz w:val="24"/>
                <w:szCs w:val="24"/>
                <w:lang w:eastAsia="nl-NL"/>
              </w:rPr>
              <w:fldChar w:fldCharType="begin" w:fldLock="1"/>
            </w:r>
            <w:r w:rsidRPr="00E04ABE">
              <w:rPr>
                <w:rFonts w:ascii="Times New Roman" w:hAnsi="Times New Roman"/>
                <w:b/>
                <w:noProof/>
                <w:sz w:val="24"/>
                <w:szCs w:val="24"/>
                <w:lang w:eastAsia="nl-NL"/>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"ITEM-2",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"ITEM-2", "issue" : "1", "issued" : { "date-parts" : [ [ "2012", "2" ] ] }, "page" : "47-66", "publisher" : "Elsevier Ltd", "title" : "Heart rate variability, sleep and sleep disorders", "type" : "article-journal", "volume" : "16" }, "uris" : [ "http://www.mendeley.com/documents/?uuid=559cfa88-df8f-417f-aa18-727ff81bce35" ] } ], "mendeley" : { "formattedCitation" : "[30,49]", "plainTextFormattedCitation" : "[30,49]", "previouslyFormattedCitation" : "[30,49]" }, "properties" : { "noteIndex" : 0 }, "schema" : "https://github.com/citation-style-language/schema/raw/master/csl-citation.json" }</w:instrText>
            </w:r>
            <w:r w:rsidRPr="00E04ABE">
              <w:rPr>
                <w:rFonts w:ascii="Times New Roman" w:hAnsi="Times New Roman"/>
                <w:b/>
                <w:noProof/>
                <w:sz w:val="24"/>
                <w:szCs w:val="24"/>
                <w:lang w:eastAsia="nl-NL"/>
              </w:rPr>
              <w:fldChar w:fldCharType="separate"/>
            </w:r>
            <w:r w:rsidRPr="00E04ABE">
              <w:rPr>
                <w:rFonts w:ascii="Times New Roman" w:hAnsi="Times New Roman"/>
                <w:noProof/>
                <w:sz w:val="24"/>
                <w:szCs w:val="24"/>
                <w:lang w:eastAsia="nl-NL"/>
              </w:rPr>
              <w:t>[30,49]</w:t>
            </w:r>
            <w:r w:rsidRPr="00E04ABE">
              <w:rPr>
                <w:rFonts w:ascii="Times New Roman" w:hAnsi="Times New Roman"/>
                <w:b/>
                <w:noProof/>
                <w:sz w:val="24"/>
                <w:szCs w:val="24"/>
                <w:lang w:eastAsia="nl-NL"/>
              </w:rPr>
              <w:fldChar w:fldCharType="end"/>
            </w:r>
          </w:p>
        </w:tc>
      </w:tr>
      <w:tr w:rsidR="00595AF5" w:rsidRPr="00E04ABE" w:rsidTr="0065187B">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sz w:val="24"/>
                <w:szCs w:val="20"/>
              </w:rPr>
              <w:t>VLF [ms</w:t>
            </w:r>
            <w:r w:rsidRPr="00E04ABE">
              <w:rPr>
                <w:rFonts w:ascii="Times New Roman" w:hAnsi="Times New Roman"/>
                <w:sz w:val="24"/>
                <w:szCs w:val="20"/>
                <w:vertAlign w:val="superscript"/>
              </w:rPr>
              <w:t>2</w:t>
            </w:r>
            <w:r w:rsidRPr="00E04ABE">
              <w:rPr>
                <w:rFonts w:ascii="Times New Roman" w:hAnsi="Times New Roman"/>
                <w:sz w:val="24"/>
                <w:szCs w:val="20"/>
              </w:rPr>
              <w:t>]</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The power of the very low </w:t>
            </w:r>
            <w:bookmarkStart w:id="0" w:name="_GoBack"/>
            <w:bookmarkEnd w:id="0"/>
            <w:r w:rsidRPr="00E04ABE">
              <w:rPr>
                <w:rFonts w:ascii="Times New Roman" w:hAnsi="Times New Roman"/>
                <w:noProof/>
                <w:sz w:val="24"/>
                <w:szCs w:val="24"/>
                <w:lang w:eastAsia="nl-NL"/>
              </w:rPr>
              <w:t>frequency band between 0.003-0.04 Hz of a defined window size.</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Oscillations in VLF are attributed to peripheral resistance fluctuations caused by thermoregulation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"ITEM-1",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"mendeley" : { "formattedCitation" : "[44]", "plainTextFormattedCitation" : "[44]", "previouslyFormattedCitation" : "[44]"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[44]</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sz w:val="24"/>
                <w:szCs w:val="20"/>
              </w:rPr>
              <w:t>LF [ms</w:t>
            </w:r>
            <w:r w:rsidRPr="00E04ABE">
              <w:rPr>
                <w:rFonts w:ascii="Times New Roman" w:hAnsi="Times New Roman"/>
                <w:sz w:val="24"/>
                <w:szCs w:val="20"/>
                <w:vertAlign w:val="superscript"/>
              </w:rPr>
              <w:t>2</w:t>
            </w:r>
            <w:r w:rsidRPr="00E04ABE">
              <w:rPr>
                <w:rFonts w:ascii="Times New Roman" w:hAnsi="Times New Roman"/>
                <w:sz w:val="24"/>
                <w:szCs w:val="20"/>
              </w:rPr>
              <w:t>]</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power of the low frequency band between 0.04-0.15 Hz of a defined window size.</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LF fluctuations are assumed to be related to baroreflex activity and under parasympathetic and sympathetic influence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"ITEM-1",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"id" : "ITEM-2",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"ITEM-2", "issue" : "8", "issued" : { "date-parts" : [ [ "2009" ] ] }, "page" : "847-860", "title" : "Heart rate variability during sleep in healthy term newborns in the early postnatal period", "type" : "article-journal", "volume" : "30" }, "uris" : [ "http://www.mendeley.com/documents/?uuid=a89c5c43-697f-42cf-b102-37def13247d4" ] } ], "mendeley" : { "formattedCitation" : "[40,44]", "plainTextFormattedCitation" : "[40,44]", "previouslyFormattedCitation" : "[40,44]"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[40,44]</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 xml:space="preserve">. Fluctuations in the neonatal baroreceptor loop are at approximately 0.07 Hz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"id" : "ITEM-2", "itemData" : { "DOI" : "10.1113/jphysiol.2005.093641", "ISBN" : "0022-3751 (Print) 0022-3751 (Linking)", "ISSN" : "0022-3751", "PMID" : "16051623", "abstract" : "We performed a cross-sectional study in human infants to determine if indices of R-R interval variability, systolic blood pressure (SBP) variability, and baroreceptor reflex sensitivity change with postmenstrual age (PMA: gestational age+postnatal age). The electrocardiogram, arterial SBP and respiration were recorded in clinically stable infants (PMA, 28-42 weeks) in the quiet sleep state in the first days after birth. (Cross-)spectral analyses of R-R interval series and SBP series were performed to calculate the power of low-frequency (LF, indicating baroreceptor reflex activity, 0.04-0.15 Hz) and high-frequency (HF, indicating parasympathetic activity, individualized between the p-10 and p-90 values of respiratory frequency) fluctuations, and transfer function phase and gain. The mean R-R interval, and LF and HF spectral powers of R-R interval series increased with PMA. The mean SBP increased with PMA, but not the LF and HF spectral powers of SBP series. In the LF range, cross-spectral analysis showed high coherence values (&gt;0.5) with a consistent negative phase shift between R-R interval and SBP, indicating a approximately 3 s lag in R-R interval changes in relation to SBP. Baroreceptor reflex sensitivity, calculated from LF transfer gain, increased significantly with PMA, from 5 (preterm) to 15 ms mmHg-1 (term). Baroreceptor reflex sensitivity correlated significantly with the (LF and) HF spectral powers of R-R interval series, but not with the LF and HF spectral powers of SBP series. The principal conclusions are that baroreceptor reflex sensitivity and spectral power in R-R interval series increase in parallel with PMA, suggesting a progressive vagal maturation with PMA.", "author" : [ { "dropping-particle" : "", "family" : "Andriessen", "given" : "Peter", "non-dropping-particle" : "", "parse-names" : false, "suffix" : "" }, { "dropping-particle" : "", "family" : "Oetomo", "given" : "Sidarto Bambang", "non-dropping-particle" : "", "parse-names" : false, "suffix" : "" }, { "dropping-particle" : "", "family" : "Peters", "given" : "Chris", "non-dropping-particle" : "", "parse-names" : false, "suffix" : "" }, { "dropping-particle" : "", "family" : "Vermeulen", "given" : "Barbara", "non-dropping-particle" : "", "parse-names" : false, "suffix" : "" }, { "dropping-particle" : "", "family" : "Wijn", "given" : "Pieter F F", "non-dropping-particle" : "", "parse-names" : false, "suffix" : "" }, { "dropping-particle" : "", "family" : "Blanco", "given" : "Carlos E", "non-dropping-particle" : "", "parse-names" : false, "suffix" : "" } ], "container-title" : "The Journal of physiology", "id" : "ITEM-2", "issue" : "Pt 1", "issued" : { "date-parts" : [ [ "2005" ] ] }, "page" : "333-341", "title" : "Baroreceptor reflex sensitivity in human neonates: the effect of postmenstrual age", "type" : "article-journal", "volume" : "568" }, "uris" : [ "http://www.mendeley.com/documents/?uuid=cb6ee6df-37b5-4419-8638-e8ea15438a4b" ] }, { "id" : "ITEM-3",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"ITEM-3",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"[40,45,46]", "plainTextFormattedCitation" : "[40,45,46]", "previouslyFormattedCitation" : "[40,45,46]"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[40,45,46]</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E04ABE">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LFnorm [%]</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LF power in normalized units LF/(Total Power-VLF) x 100 </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Normalization, to correct for total power variability. </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HF [</w:t>
            </w:r>
            <w:r w:rsidRPr="00E04ABE">
              <w:rPr>
                <w:rFonts w:ascii="Times New Roman" w:hAnsi="Times New Roman"/>
                <w:sz w:val="24"/>
                <w:szCs w:val="24"/>
              </w:rPr>
              <w:t>ms</w:t>
            </w:r>
            <w:r w:rsidRPr="00E04ABE">
              <w:rPr>
                <w:rFonts w:ascii="Times New Roman" w:hAnsi="Times New Roman"/>
                <w:sz w:val="24"/>
                <w:szCs w:val="24"/>
                <w:vertAlign w:val="superscript"/>
              </w:rPr>
              <w:t>2</w:t>
            </w:r>
            <w:r w:rsidRPr="00E04ABE">
              <w:rPr>
                <w:rFonts w:ascii="Times New Roman" w:hAnsi="Times New Roman"/>
                <w:sz w:val="24"/>
                <w:szCs w:val="24"/>
              </w:rPr>
              <w:t>]</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power of the high frequency band between 0.15-0.4 Hz of a defined window size.</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HF fluctuations are associated with activities of the parasympathetic system and respiratory activity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"id" : "ITEM-2",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"ITEM-2",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"id" : "ITEM-3",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"ITEM-3",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"[42,44,45]", "plainTextFormattedCitation" : "[42,44,45]", "previouslyFormattedCitation" : "[42,44,45]"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[42,44,45]</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 xml:space="preserve">. Respiratory activity is closely linked to preterm sleep states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"2016", "4" ] ] }, "title" : "Unobtrusive sleep state measurements in preterm infants: a review", "type" : "article-journal", "volume" : "Epub ahead" }, "uris" : [ "http://www.mendeley.com/documents/?uuid=a6ffb429-5354-46a8-80bb-51176560527a"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"[7,12]", "plainTextFormattedCitation" : "[7,12]", "previouslyFormattedCitation" : "[7,12]"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[7,12]</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 xml:space="preserve"> and seems more prominent during quiet sleep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"[42]", "plainTextFormattedCitation" : "[42]", "previouslyFormattedCitation" : "[42]"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[42]</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 xml:space="preserve">. </w:t>
            </w:r>
          </w:p>
        </w:tc>
      </w:tr>
      <w:tr w:rsidR="00595AF5" w:rsidRPr="00E04ABE" w:rsidTr="00E04ABE">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HFnorm [%]</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HF power in normalized units HF/(Total Power-VLF) x 100</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Normalization, to correct for total power variability.</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lastRenderedPageBreak/>
              <w:t>pHF1 [ms</w:t>
            </w:r>
            <w:r w:rsidRPr="00E04ABE">
              <w:rPr>
                <w:rFonts w:ascii="Times New Roman" w:hAnsi="Times New Roman"/>
                <w:noProof/>
                <w:sz w:val="24"/>
                <w:szCs w:val="24"/>
                <w:vertAlign w:val="superscript"/>
                <w:lang w:eastAsia="nl-NL"/>
              </w:rPr>
              <w:t>2</w:t>
            </w:r>
            <w:r w:rsidRPr="00E04ABE">
              <w:rPr>
                <w:rFonts w:ascii="Times New Roman" w:hAnsi="Times New Roman"/>
                <w:noProof/>
                <w:sz w:val="24"/>
                <w:szCs w:val="24"/>
                <w:lang w:eastAsia="nl-NL"/>
              </w:rPr>
              <w:t>]</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power of the high frequency band between 0.4-0.7 Hz</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pHF1 fluctuations are associated with activities of the parasympathetic system and respiratory activity especially in reterm infants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"[31]", "plainTextFormattedCitation" : "[31]", "previouslyFormattedCitation" : "[31]"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[31]</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E04ABE">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pHF2 [ms</w:t>
            </w:r>
            <w:r w:rsidRPr="00E04ABE">
              <w:rPr>
                <w:rFonts w:ascii="Times New Roman" w:hAnsi="Times New Roman"/>
                <w:noProof/>
                <w:sz w:val="24"/>
                <w:szCs w:val="24"/>
                <w:vertAlign w:val="superscript"/>
                <w:lang w:eastAsia="nl-NL"/>
              </w:rPr>
              <w:t>2</w:t>
            </w:r>
            <w:r w:rsidRPr="00E04ABE">
              <w:rPr>
                <w:rFonts w:ascii="Times New Roman" w:hAnsi="Times New Roman"/>
                <w:noProof/>
                <w:sz w:val="24"/>
                <w:szCs w:val="24"/>
                <w:lang w:eastAsia="nl-NL"/>
              </w:rPr>
              <w:t>]</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power of the high frequency band between 0.7-1.5 Hz</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pHF2 fluctuations are associated with activities of the parasympathetic system and respiratory activity especially in reterm infants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"[31]", "plainTextFormattedCitation" : "[31]", "previouslyFormattedCitation" : "[31]"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[31]</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LF/HF [n.u.]</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Ratio LF/HF</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This estimate claims to reflect the sympathovagal balance in adults, although the value has to be established in newborns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"ITEM-1",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"[45]", "plainTextFormattedCitation" : "[45]", "previouslyFormattedCitation" : "[45]"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[45]</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 xml:space="preserve">. Increased values may indicate greater sympathetic and/or lesser vagal modulation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"mendeley" : { "formattedCitation" : "[40]", "plainTextFormattedCitation" : "[40]", "previouslyFormattedCitation" : "[40]"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[40]</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E04ABE">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SDNN [ms]</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standard deviation of normal to normal R-R intervals of a defined window length.</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Reflects the overal heart rate variability influenced by both the para- and sympathectiv nervous system </w:t>
            </w:r>
            <w:r w:rsidRPr="00E04ABE">
              <w:rPr>
                <w:rFonts w:ascii="Times New Roman" w:hAnsi="Times New Roman"/>
                <w:b/>
                <w:noProof/>
                <w:sz w:val="24"/>
                <w:szCs w:val="24"/>
                <w:lang w:eastAsia="nl-NL"/>
              </w:rPr>
              <w:fldChar w:fldCharType="begin" w:fldLock="1"/>
            </w:r>
            <w:r w:rsidRPr="00E04ABE">
              <w:rPr>
                <w:rFonts w:ascii="Times New Roman" w:hAnsi="Times New Roman"/>
                <w:b/>
                <w:noProof/>
                <w:sz w:val="24"/>
                <w:szCs w:val="24"/>
                <w:lang w:eastAsia="nl-NL"/>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"ITEM-2",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"ITEM-2", "issue" : "1", "issued" : { "date-parts" : [ [ "2012", "2" ] ] }, "page" : "47-66", "publisher" : "Elsevier Ltd", "title" : "Heart rate variability, sleep and sleep disorders", "type" : "article-journal", "volume" : "16" }, "uris" : [ "http://www.mendeley.com/documents/?uuid=559cfa88-df8f-417f-aa18-727ff81bce35" ] } ], "mendeley" : { "formattedCitation" : "[30,49]", "plainTextFormattedCitation" : "[30,49]", "previouslyFormattedCitation" : "[30,49]" }, "properties" : { "noteIndex" : 0 }, "schema" : "https://github.com/citation-style-language/schema/raw/master/csl-citation.json" }</w:instrText>
            </w:r>
            <w:r w:rsidRPr="00E04ABE">
              <w:rPr>
                <w:rFonts w:ascii="Times New Roman" w:hAnsi="Times New Roman"/>
                <w:b/>
                <w:noProof/>
                <w:sz w:val="24"/>
                <w:szCs w:val="24"/>
                <w:lang w:eastAsia="nl-NL"/>
              </w:rPr>
              <w:fldChar w:fldCharType="separate"/>
            </w:r>
            <w:r w:rsidRPr="00E04ABE">
              <w:rPr>
                <w:rFonts w:ascii="Times New Roman" w:hAnsi="Times New Roman"/>
                <w:noProof/>
                <w:sz w:val="24"/>
                <w:szCs w:val="24"/>
                <w:lang w:eastAsia="nl-NL"/>
              </w:rPr>
              <w:t>[30,49]</w:t>
            </w:r>
            <w:r w:rsidRPr="00E04ABE">
              <w:rPr>
                <w:rFonts w:ascii="Times New Roman" w:hAnsi="Times New Roman"/>
                <w:b/>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16743B">
        <w:tc>
          <w:tcPr>
            <w:tcW w:w="1701" w:type="dxa"/>
            <w:tcBorders>
              <w:top w:val="nil"/>
              <w:left w:val="single" w:sz="4" w:space="0" w:color="auto"/>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RMSSD [ms]</w:t>
            </w:r>
          </w:p>
        </w:tc>
        <w:tc>
          <w:tcPr>
            <w:tcW w:w="3686" w:type="dxa"/>
            <w:tcBorders>
              <w:top w:val="nil"/>
              <w:left w:val="nil"/>
              <w:bottom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Root mean square of successive differences between adjacent R-R intervals of a defined window length.</w:t>
            </w:r>
          </w:p>
        </w:tc>
        <w:tc>
          <w:tcPr>
            <w:tcW w:w="5168" w:type="dxa"/>
            <w:tcBorders>
              <w:top w:val="nil"/>
              <w:left w:val="nil"/>
              <w:bottom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Influenced mainly by parasympathetic activity and respiratory activity. </w:t>
            </w:r>
          </w:p>
        </w:tc>
      </w:tr>
      <w:tr w:rsidR="00595AF5" w:rsidRPr="00E04ABE" w:rsidTr="00E04ABE">
        <w:tc>
          <w:tcPr>
            <w:tcW w:w="1701" w:type="dxa"/>
            <w:tcBorders>
              <w:top w:val="nil"/>
              <w:left w:val="single" w:sz="4" w:space="0" w:color="auto"/>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NNx [count]</w:t>
            </w:r>
          </w:p>
        </w:tc>
        <w:tc>
          <w:tcPr>
            <w:tcW w:w="3686" w:type="dxa"/>
            <w:tcBorders>
              <w:top w:val="nil"/>
              <w:left w:val="nil"/>
              <w:bottom w:val="nil"/>
              <w:right w:val="nil"/>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number of pairs of successive R-R intervals that differ by more than 10, 20, 30 or 50 ms of a defined window length.</w:t>
            </w:r>
          </w:p>
        </w:tc>
        <w:tc>
          <w:tcPr>
            <w:tcW w:w="5168" w:type="dxa"/>
            <w:tcBorders>
              <w:top w:val="nil"/>
              <w:left w:val="nil"/>
              <w:bottom w:val="nil"/>
              <w:right w:val="single" w:sz="4" w:space="0" w:color="auto"/>
            </w:tcBorders>
            <w:shd w:val="clear" w:color="auto" w:fill="F2F2F2" w:themeFill="background1" w:themeFillShade="F2"/>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NNx reflects parasympathetic activity. While NN10 covers more overall changes, NN50 represents high frequency variations with influence from respiratiory activity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"10.1016/j.jpeds.2016.11.059", "ISSN" : "00223476", "author" : [ { "dropping-particle" : "", "family" : "Kommers", "given" : "Deedee R.", "non-dropping-particle" : "", "parse-names" : false, "suffix" : "" }, { "dropping-particle" : "", "family" : "Joshi", "given" : "Rohan", "non-dropping-particle" : "", "parse-names" : false, "suffix" : "" }, { "dropping-particle" : "", "family" : "Pul", "given" : "Carola", "non-dropping-particle" : "van", "parse-names" : false, "suffix" : "" }, { "dropping-particle" : "", "family" : "Atallah", "given" : "Louis", "non-dropping-particle" : "", "parse-names" : false, "suffix" : "" }, { "dropping-particle" : "", "family" : "Feijs", "given" : "Loe", "non-dropping-particle" : "", "parse-names" : false, "suffix" : "" }, { "dropping-particle" : "", "family" : "Oei", "given" : "Guid", "non-dropping-particle" : "", "parse-names" : false, "suffix" : "" }, { "dropping-particle" : "", "family" : "Bambang Oetomo", "given" : "Sidarto", "non-dropping-particle" : "", "parse-names" : false, "suffix" : "" }, { "dropping-particle" : "", "family" : "Andriessen", "given" : "Peter", "non-dropping-particle" : "", "parse-names" : false, "suffix" : "" } ], "container-title" : "The Journal of Pediatrics", "id" : "ITEM-1", "issued" : { "date-parts" : [ [ "2016", "12" ] ] }, "page" : "1-8", "publisher" : "Elsevier Inc.", "title" : "Features of Heart Rate Variability Capture Regulatory Changes During Kangaroo Care in Preterm Infants", "type" : "article-journal", "volume" : "in print" }, "uris" : [ "http://www.mendeley.com/documents/?uuid=d2adb5a0-a27d-4c52-b0e4-6fa0a57335ba" ] } ], "mendeley" : { "formattedCitation" : "[54]", "plainTextFormattedCitation" : "[54]", "previouslyFormattedCitation" : "[54]"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[54]</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r w:rsidR="00595AF5" w:rsidRPr="00E04ABE" w:rsidTr="0016743B">
        <w:tc>
          <w:tcPr>
            <w:tcW w:w="1701" w:type="dxa"/>
            <w:tcBorders>
              <w:top w:val="nil"/>
              <w:left w:val="single" w:sz="4" w:space="0" w:color="auto"/>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pNNx [%]</w:t>
            </w:r>
          </w:p>
        </w:tc>
        <w:tc>
          <w:tcPr>
            <w:tcW w:w="3686" w:type="dxa"/>
            <w:tcBorders>
              <w:top w:val="nil"/>
              <w:left w:val="nil"/>
              <w:right w:val="nil"/>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The proportion of NNx divided by total number of R-R intervals of a defined window length.</w:t>
            </w:r>
          </w:p>
        </w:tc>
        <w:tc>
          <w:tcPr>
            <w:tcW w:w="5168" w:type="dxa"/>
            <w:tcBorders>
              <w:top w:val="nil"/>
              <w:left w:val="nil"/>
              <w:right w:val="single" w:sz="4" w:space="0" w:color="auto"/>
            </w:tcBorders>
          </w:tcPr>
          <w:p w:rsidR="00595AF5" w:rsidRPr="00E04ABE" w:rsidRDefault="00595AF5" w:rsidP="00595AF5">
            <w:pPr>
              <w:spacing w:line="360" w:lineRule="auto"/>
              <w:rPr>
                <w:rFonts w:ascii="Times New Roman" w:hAnsi="Times New Roman"/>
                <w:noProof/>
                <w:sz w:val="24"/>
                <w:szCs w:val="24"/>
                <w:lang w:eastAsia="nl-NL"/>
              </w:rPr>
            </w:pPr>
            <w:r w:rsidRPr="00E04ABE">
              <w:rPr>
                <w:rFonts w:ascii="Times New Roman" w:hAnsi="Times New Roman"/>
                <w:noProof/>
                <w:sz w:val="24"/>
                <w:szCs w:val="24"/>
                <w:lang w:eastAsia="nl-NL"/>
              </w:rPr>
              <w:t xml:space="preserve">pNNx are directly linked to the NNx features. pNNx for values of x&lt;50 ms may provide more robust estimates of cardiac vagal tone modulation even in the presence of outliers </w:t>
            </w:r>
            <w:r w:rsidRPr="00E04ABE">
              <w:rPr>
                <w:rFonts w:ascii="Times New Roman" w:hAnsi="Times New Roman"/>
                <w:noProof/>
                <w:sz w:val="24"/>
                <w:szCs w:val="24"/>
                <w:lang w:eastAsia="nl-NL"/>
              </w:rPr>
              <w:fldChar w:fldCharType="begin" w:fldLock="1"/>
            </w:r>
            <w:r w:rsidRPr="00E04ABE">
              <w:rPr>
                <w:rFonts w:ascii="Times New Roman" w:hAnsi="Times New Roman"/>
                <w:noProof/>
                <w:sz w:val="24"/>
                <w:szCs w:val="24"/>
                <w:lang w:eastAsia="nl-NL"/>
              </w:rPr>
              <w:instrText>ADDIN CSL_CITATION { "citationItems" : [ { "id" : "ITEM-1", "itemData" : { "DOI" : "10.1136/heart.88.4.378", "ISSN" : "00070769", "author" : [ { "dropping-particle" : "", "family" : "Mietus", "given" : "J E", "non-dropping-particle" : "", "parse-names" : false, "suffix" : "" } ], "container-title" : "Heart", "id" : "ITEM-1", "issue" : "4", "issued" : { "date-parts" : [ [ "2002", "10", "1" ] ] }, "page" : "378-380", "title" : "The pNNx files: re-examining a widely used heart rate variability measure", "type" : "article-journal", "volume" : "88" }, "uris" : [ "http://www.mendeley.com/documents/?uuid=3795623d-ed85-4e8d-8c78-aa92f4f815b3" ] }, { "id" : "ITEM-2", "itemData" : { "DOI" : "10.1016/j.jpeds.2016.11.059", "ISSN" : "00223476", "author" : [ { "dropping-particle" : "", "family" : "Kommers", "given" : "Deedee R.", "non-dropping-particle" : "", "parse-names" : false, "suffix" : "" }, { "dropping-particle" : "", "family" : "Joshi", "given" : "Rohan", "non-dropping-particle" : "", "parse-names" : false, "suffix" : "" }, { "dropping-particle" : "", "family" : "Pul", "given" : "Carola", "non-dropping-particle" : "van", "parse-names" : false, "suffix" : "" }, { "dropping-particle" : "", "family" : "Atallah", "given" : "Louis", "non-dropping-particle" : "", "parse-names" : false, "suffix" : "" }, { "dropping-particle" : "", "family" : "Feijs", "given" : "Loe", "non-dropping-particle" : "", "parse-names" : false, "suffix" : "" }, { "dropping-particle" : "", "family" : "Oei", "given" : "Guid", "non-dropping-particle" : "", "parse-names" : false, "suffix" : "" }, { "dropping-particle" : "", "family" : "Bambang Oetomo", "given" : "Sidarto", "non-dropping-particle" : "", "parse-names" : false, "suffix" : "" }, { "dropping-particle" : "", "family" : "Andriessen", "given" : "Peter", "non-dropping-particle" : "", "parse-names" : false, "suffix" : "" } ], "container-title" : "The Journal of Pediatrics", "id" : "ITEM-2", "issued" : { "date-parts" : [ [ "2016", "12" ] ] }, "page" : "1-8", "publisher" : "Elsevier Inc.", "title" : "Features of Heart Rate Variability Capture Regulatory Changes During Kangaroo Care in Preterm Infants", "type" : "article-journal", "volume" : "in print" }, "uris" : [ "http://www.mendeley.com/documents/?uuid=d2adb5a0-a27d-4c52-b0e4-6fa0a57335ba" ] } ], "mendeley" : { "formattedCitation" : "[54,67]", "plainTextFormattedCitation" : "[54,67]", "previouslyFormattedCitation" : "[54,67]" }, "properties" : { "noteIndex" : 0 }, "schema" : "https://github.com/citation-style-language/schema/raw/master/csl-citation.json" }</w:instrText>
            </w:r>
            <w:r w:rsidRPr="00E04ABE">
              <w:rPr>
                <w:rFonts w:ascii="Times New Roman" w:hAnsi="Times New Roman"/>
                <w:noProof/>
                <w:sz w:val="24"/>
                <w:szCs w:val="24"/>
                <w:lang w:eastAsia="nl-NL"/>
              </w:rPr>
              <w:fldChar w:fldCharType="separate"/>
            </w:r>
            <w:r w:rsidRPr="00E04ABE">
              <w:rPr>
                <w:rFonts w:ascii="Times New Roman" w:hAnsi="Times New Roman"/>
                <w:noProof/>
                <w:sz w:val="24"/>
                <w:szCs w:val="24"/>
                <w:lang w:eastAsia="nl-NL"/>
              </w:rPr>
              <w:t>[54,67]</w:t>
            </w:r>
            <w:r w:rsidRPr="00E04ABE">
              <w:rPr>
                <w:rFonts w:ascii="Times New Roman" w:hAnsi="Times New Roman"/>
                <w:noProof/>
                <w:sz w:val="24"/>
                <w:szCs w:val="24"/>
                <w:lang w:eastAsia="nl-NL"/>
              </w:rPr>
              <w:fldChar w:fldCharType="end"/>
            </w:r>
            <w:r w:rsidRPr="00E04ABE">
              <w:rPr>
                <w:rFonts w:ascii="Times New Roman" w:hAnsi="Times New Roman"/>
                <w:noProof/>
                <w:sz w:val="24"/>
                <w:szCs w:val="24"/>
                <w:lang w:eastAsia="nl-NL"/>
              </w:rPr>
              <w:t>.</w:t>
            </w:r>
          </w:p>
        </w:tc>
      </w:tr>
    </w:tbl>
    <w:p w:rsidR="00595AF5" w:rsidRPr="00E04ABE" w:rsidRDefault="00595AF5">
      <w:pPr>
        <w:rPr>
          <w:rFonts w:ascii="Times New Roman" w:hAnsi="Times New Roman"/>
        </w:rPr>
      </w:pPr>
    </w:p>
    <w:p w:rsidR="00595AF5" w:rsidRPr="00E04ABE" w:rsidRDefault="00595AF5">
      <w:pPr>
        <w:rPr>
          <w:rFonts w:ascii="Times New Roman" w:hAnsi="Times New Roman"/>
        </w:rPr>
      </w:pPr>
    </w:p>
    <w:sectPr w:rsidR="00595AF5" w:rsidRPr="00E04A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F5"/>
    <w:rsid w:val="00001E44"/>
    <w:rsid w:val="000025DF"/>
    <w:rsid w:val="0000792C"/>
    <w:rsid w:val="00010881"/>
    <w:rsid w:val="00012E91"/>
    <w:rsid w:val="00014919"/>
    <w:rsid w:val="0001636A"/>
    <w:rsid w:val="00016EB4"/>
    <w:rsid w:val="0002001E"/>
    <w:rsid w:val="000238EA"/>
    <w:rsid w:val="00024F6C"/>
    <w:rsid w:val="000253DF"/>
    <w:rsid w:val="00027625"/>
    <w:rsid w:val="00035AE3"/>
    <w:rsid w:val="0004565C"/>
    <w:rsid w:val="00045D79"/>
    <w:rsid w:val="00046824"/>
    <w:rsid w:val="00052294"/>
    <w:rsid w:val="00052732"/>
    <w:rsid w:val="000528C2"/>
    <w:rsid w:val="000555F1"/>
    <w:rsid w:val="00055BE6"/>
    <w:rsid w:val="0006016C"/>
    <w:rsid w:val="000629DE"/>
    <w:rsid w:val="0006555F"/>
    <w:rsid w:val="00067108"/>
    <w:rsid w:val="00073615"/>
    <w:rsid w:val="00075049"/>
    <w:rsid w:val="0007645B"/>
    <w:rsid w:val="00077D6E"/>
    <w:rsid w:val="00080243"/>
    <w:rsid w:val="0008029C"/>
    <w:rsid w:val="00080716"/>
    <w:rsid w:val="000833E8"/>
    <w:rsid w:val="00083B59"/>
    <w:rsid w:val="0008607C"/>
    <w:rsid w:val="000867CB"/>
    <w:rsid w:val="0009243E"/>
    <w:rsid w:val="00094874"/>
    <w:rsid w:val="000966A9"/>
    <w:rsid w:val="00096BF7"/>
    <w:rsid w:val="000A1D24"/>
    <w:rsid w:val="000A207C"/>
    <w:rsid w:val="000A4960"/>
    <w:rsid w:val="000A631B"/>
    <w:rsid w:val="000A7F6C"/>
    <w:rsid w:val="000B0641"/>
    <w:rsid w:val="000B11F7"/>
    <w:rsid w:val="000B2CE1"/>
    <w:rsid w:val="000B2D6F"/>
    <w:rsid w:val="000B7369"/>
    <w:rsid w:val="000B7596"/>
    <w:rsid w:val="000B77BD"/>
    <w:rsid w:val="000C14C7"/>
    <w:rsid w:val="000C1821"/>
    <w:rsid w:val="000C2D2C"/>
    <w:rsid w:val="000C3943"/>
    <w:rsid w:val="000C6459"/>
    <w:rsid w:val="000D4957"/>
    <w:rsid w:val="000D59B3"/>
    <w:rsid w:val="000E36D0"/>
    <w:rsid w:val="000E4D9F"/>
    <w:rsid w:val="000E651D"/>
    <w:rsid w:val="000F0A9C"/>
    <w:rsid w:val="000F5E2A"/>
    <w:rsid w:val="00102F19"/>
    <w:rsid w:val="00103359"/>
    <w:rsid w:val="001113A9"/>
    <w:rsid w:val="001118DF"/>
    <w:rsid w:val="00112D2A"/>
    <w:rsid w:val="001145AE"/>
    <w:rsid w:val="001155D8"/>
    <w:rsid w:val="00116C99"/>
    <w:rsid w:val="001213C8"/>
    <w:rsid w:val="00123EA6"/>
    <w:rsid w:val="0012603A"/>
    <w:rsid w:val="00126E1A"/>
    <w:rsid w:val="00127149"/>
    <w:rsid w:val="001273F7"/>
    <w:rsid w:val="00131384"/>
    <w:rsid w:val="001330DC"/>
    <w:rsid w:val="00135E1A"/>
    <w:rsid w:val="001365D6"/>
    <w:rsid w:val="00136772"/>
    <w:rsid w:val="00136A20"/>
    <w:rsid w:val="0014098E"/>
    <w:rsid w:val="001415EC"/>
    <w:rsid w:val="00141D6B"/>
    <w:rsid w:val="00141DE8"/>
    <w:rsid w:val="00142CE3"/>
    <w:rsid w:val="0014325B"/>
    <w:rsid w:val="00145DEC"/>
    <w:rsid w:val="0014651C"/>
    <w:rsid w:val="0015032E"/>
    <w:rsid w:val="00151240"/>
    <w:rsid w:val="00151651"/>
    <w:rsid w:val="0015285F"/>
    <w:rsid w:val="00152FD8"/>
    <w:rsid w:val="00154FC5"/>
    <w:rsid w:val="00155B75"/>
    <w:rsid w:val="00155D3C"/>
    <w:rsid w:val="0015758D"/>
    <w:rsid w:val="0016205F"/>
    <w:rsid w:val="001634AB"/>
    <w:rsid w:val="001645C8"/>
    <w:rsid w:val="0016566E"/>
    <w:rsid w:val="001677D7"/>
    <w:rsid w:val="00171F3D"/>
    <w:rsid w:val="00172CEA"/>
    <w:rsid w:val="00175095"/>
    <w:rsid w:val="00176140"/>
    <w:rsid w:val="001808EE"/>
    <w:rsid w:val="00180AB8"/>
    <w:rsid w:val="00180E65"/>
    <w:rsid w:val="001812D2"/>
    <w:rsid w:val="00183325"/>
    <w:rsid w:val="0019438E"/>
    <w:rsid w:val="00194CB7"/>
    <w:rsid w:val="001960D1"/>
    <w:rsid w:val="00196410"/>
    <w:rsid w:val="001A2499"/>
    <w:rsid w:val="001A32D6"/>
    <w:rsid w:val="001A406C"/>
    <w:rsid w:val="001A615E"/>
    <w:rsid w:val="001B0AB8"/>
    <w:rsid w:val="001B1421"/>
    <w:rsid w:val="001B1FF9"/>
    <w:rsid w:val="001B30D1"/>
    <w:rsid w:val="001B3662"/>
    <w:rsid w:val="001B7114"/>
    <w:rsid w:val="001C04C1"/>
    <w:rsid w:val="001C1621"/>
    <w:rsid w:val="001C2064"/>
    <w:rsid w:val="001C4A41"/>
    <w:rsid w:val="001C5518"/>
    <w:rsid w:val="001C5CF1"/>
    <w:rsid w:val="001C72CE"/>
    <w:rsid w:val="001D1268"/>
    <w:rsid w:val="001D1E20"/>
    <w:rsid w:val="001D5B09"/>
    <w:rsid w:val="001E0B0B"/>
    <w:rsid w:val="001E15D0"/>
    <w:rsid w:val="001E3096"/>
    <w:rsid w:val="001E3D9F"/>
    <w:rsid w:val="001E5678"/>
    <w:rsid w:val="001E73C1"/>
    <w:rsid w:val="001F512F"/>
    <w:rsid w:val="00201289"/>
    <w:rsid w:val="002028DE"/>
    <w:rsid w:val="0020391F"/>
    <w:rsid w:val="00211BE1"/>
    <w:rsid w:val="00212C68"/>
    <w:rsid w:val="00215C88"/>
    <w:rsid w:val="002165E2"/>
    <w:rsid w:val="002166DB"/>
    <w:rsid w:val="0021780F"/>
    <w:rsid w:val="002209F2"/>
    <w:rsid w:val="00222EDE"/>
    <w:rsid w:val="00230E88"/>
    <w:rsid w:val="002323E6"/>
    <w:rsid w:val="002334BD"/>
    <w:rsid w:val="00234B77"/>
    <w:rsid w:val="00235C0F"/>
    <w:rsid w:val="00235C95"/>
    <w:rsid w:val="00236F60"/>
    <w:rsid w:val="00240243"/>
    <w:rsid w:val="00240809"/>
    <w:rsid w:val="002420DF"/>
    <w:rsid w:val="0024410E"/>
    <w:rsid w:val="00247A01"/>
    <w:rsid w:val="00251D84"/>
    <w:rsid w:val="00251E0A"/>
    <w:rsid w:val="00252147"/>
    <w:rsid w:val="00252913"/>
    <w:rsid w:val="00253476"/>
    <w:rsid w:val="00255F2A"/>
    <w:rsid w:val="00265E70"/>
    <w:rsid w:val="00267EE9"/>
    <w:rsid w:val="00270D6E"/>
    <w:rsid w:val="00271487"/>
    <w:rsid w:val="00273DF6"/>
    <w:rsid w:val="0027643C"/>
    <w:rsid w:val="002807E9"/>
    <w:rsid w:val="00280EFA"/>
    <w:rsid w:val="00281C22"/>
    <w:rsid w:val="00282F84"/>
    <w:rsid w:val="00286C8F"/>
    <w:rsid w:val="00290BB2"/>
    <w:rsid w:val="00291D2D"/>
    <w:rsid w:val="00292157"/>
    <w:rsid w:val="00292861"/>
    <w:rsid w:val="002A378F"/>
    <w:rsid w:val="002A4755"/>
    <w:rsid w:val="002B06A6"/>
    <w:rsid w:val="002B56DC"/>
    <w:rsid w:val="002C2D91"/>
    <w:rsid w:val="002D38B8"/>
    <w:rsid w:val="002D4EEF"/>
    <w:rsid w:val="002D65B2"/>
    <w:rsid w:val="002E16F7"/>
    <w:rsid w:val="002E241E"/>
    <w:rsid w:val="002E38E6"/>
    <w:rsid w:val="002E69A0"/>
    <w:rsid w:val="002F0EFD"/>
    <w:rsid w:val="002F25D3"/>
    <w:rsid w:val="002F45AB"/>
    <w:rsid w:val="002F77D8"/>
    <w:rsid w:val="003041E4"/>
    <w:rsid w:val="003058EE"/>
    <w:rsid w:val="00306B92"/>
    <w:rsid w:val="00312B31"/>
    <w:rsid w:val="0031421A"/>
    <w:rsid w:val="00314331"/>
    <w:rsid w:val="00314351"/>
    <w:rsid w:val="00317AC9"/>
    <w:rsid w:val="003202AB"/>
    <w:rsid w:val="00323AD6"/>
    <w:rsid w:val="00326186"/>
    <w:rsid w:val="00326CCE"/>
    <w:rsid w:val="0032729A"/>
    <w:rsid w:val="00330CC3"/>
    <w:rsid w:val="003315E9"/>
    <w:rsid w:val="00331724"/>
    <w:rsid w:val="003325D8"/>
    <w:rsid w:val="0033433F"/>
    <w:rsid w:val="00334617"/>
    <w:rsid w:val="00334E31"/>
    <w:rsid w:val="00337CC1"/>
    <w:rsid w:val="003403D5"/>
    <w:rsid w:val="00340D34"/>
    <w:rsid w:val="003427AD"/>
    <w:rsid w:val="00343087"/>
    <w:rsid w:val="00345F1E"/>
    <w:rsid w:val="00350B5D"/>
    <w:rsid w:val="00350BFE"/>
    <w:rsid w:val="0035341B"/>
    <w:rsid w:val="00353AEC"/>
    <w:rsid w:val="00357314"/>
    <w:rsid w:val="003609C4"/>
    <w:rsid w:val="003641C2"/>
    <w:rsid w:val="00365004"/>
    <w:rsid w:val="00366521"/>
    <w:rsid w:val="003731AB"/>
    <w:rsid w:val="003811DC"/>
    <w:rsid w:val="00387B02"/>
    <w:rsid w:val="00391B81"/>
    <w:rsid w:val="003920BE"/>
    <w:rsid w:val="00392235"/>
    <w:rsid w:val="003976AD"/>
    <w:rsid w:val="0039798C"/>
    <w:rsid w:val="003A314C"/>
    <w:rsid w:val="003B05E2"/>
    <w:rsid w:val="003B4313"/>
    <w:rsid w:val="003B57B6"/>
    <w:rsid w:val="003B6113"/>
    <w:rsid w:val="003B65BF"/>
    <w:rsid w:val="003B6CD2"/>
    <w:rsid w:val="003B79F1"/>
    <w:rsid w:val="003C16B2"/>
    <w:rsid w:val="003C3E06"/>
    <w:rsid w:val="003C449B"/>
    <w:rsid w:val="003C77EB"/>
    <w:rsid w:val="003C7EAF"/>
    <w:rsid w:val="003D0AAE"/>
    <w:rsid w:val="003D2036"/>
    <w:rsid w:val="003D24FE"/>
    <w:rsid w:val="003D368C"/>
    <w:rsid w:val="003D5B2B"/>
    <w:rsid w:val="003D7CEA"/>
    <w:rsid w:val="003D7FD8"/>
    <w:rsid w:val="003E022D"/>
    <w:rsid w:val="003E0BCB"/>
    <w:rsid w:val="003E26B3"/>
    <w:rsid w:val="003E5937"/>
    <w:rsid w:val="003E5E8E"/>
    <w:rsid w:val="003E6025"/>
    <w:rsid w:val="003E6C18"/>
    <w:rsid w:val="003E78C7"/>
    <w:rsid w:val="003F34CE"/>
    <w:rsid w:val="003F6F37"/>
    <w:rsid w:val="00401160"/>
    <w:rsid w:val="00401CC5"/>
    <w:rsid w:val="0040323D"/>
    <w:rsid w:val="004073CA"/>
    <w:rsid w:val="0041007D"/>
    <w:rsid w:val="00411EA4"/>
    <w:rsid w:val="004129FD"/>
    <w:rsid w:val="00416746"/>
    <w:rsid w:val="004176DC"/>
    <w:rsid w:val="004205A3"/>
    <w:rsid w:val="00422910"/>
    <w:rsid w:val="00422DBC"/>
    <w:rsid w:val="00432C0D"/>
    <w:rsid w:val="00433524"/>
    <w:rsid w:val="00433776"/>
    <w:rsid w:val="00435FBC"/>
    <w:rsid w:val="00437137"/>
    <w:rsid w:val="004371EE"/>
    <w:rsid w:val="00450A8A"/>
    <w:rsid w:val="0045132C"/>
    <w:rsid w:val="00454F5B"/>
    <w:rsid w:val="00455995"/>
    <w:rsid w:val="00456F16"/>
    <w:rsid w:val="00460255"/>
    <w:rsid w:val="004605AC"/>
    <w:rsid w:val="00460EFB"/>
    <w:rsid w:val="004615D2"/>
    <w:rsid w:val="00462582"/>
    <w:rsid w:val="004651B4"/>
    <w:rsid w:val="004708F7"/>
    <w:rsid w:val="00471709"/>
    <w:rsid w:val="00471CC7"/>
    <w:rsid w:val="004741CD"/>
    <w:rsid w:val="00474DAF"/>
    <w:rsid w:val="004757FE"/>
    <w:rsid w:val="00476DDE"/>
    <w:rsid w:val="00481FA9"/>
    <w:rsid w:val="0048615E"/>
    <w:rsid w:val="00486DAD"/>
    <w:rsid w:val="00490B41"/>
    <w:rsid w:val="00496BFF"/>
    <w:rsid w:val="004A4DFC"/>
    <w:rsid w:val="004A6536"/>
    <w:rsid w:val="004B2C58"/>
    <w:rsid w:val="004B4347"/>
    <w:rsid w:val="004C1ED4"/>
    <w:rsid w:val="004C44A4"/>
    <w:rsid w:val="004C6C91"/>
    <w:rsid w:val="004D1C5A"/>
    <w:rsid w:val="004D5535"/>
    <w:rsid w:val="004D5584"/>
    <w:rsid w:val="004D722D"/>
    <w:rsid w:val="004D75CA"/>
    <w:rsid w:val="004D7798"/>
    <w:rsid w:val="004D7FB6"/>
    <w:rsid w:val="004E2277"/>
    <w:rsid w:val="004E2895"/>
    <w:rsid w:val="004E334D"/>
    <w:rsid w:val="004E3BB1"/>
    <w:rsid w:val="004E487E"/>
    <w:rsid w:val="004E5C8D"/>
    <w:rsid w:val="004E6951"/>
    <w:rsid w:val="004F2CDC"/>
    <w:rsid w:val="004F55D9"/>
    <w:rsid w:val="004F6422"/>
    <w:rsid w:val="00501039"/>
    <w:rsid w:val="00503853"/>
    <w:rsid w:val="00505D57"/>
    <w:rsid w:val="00511540"/>
    <w:rsid w:val="00511F4B"/>
    <w:rsid w:val="005177A9"/>
    <w:rsid w:val="00520D0C"/>
    <w:rsid w:val="00525AAD"/>
    <w:rsid w:val="00525D77"/>
    <w:rsid w:val="00527E75"/>
    <w:rsid w:val="00531233"/>
    <w:rsid w:val="0053466E"/>
    <w:rsid w:val="005348E9"/>
    <w:rsid w:val="00540DBC"/>
    <w:rsid w:val="00541B61"/>
    <w:rsid w:val="00541EA7"/>
    <w:rsid w:val="00542605"/>
    <w:rsid w:val="00542ACD"/>
    <w:rsid w:val="00542EAA"/>
    <w:rsid w:val="00544302"/>
    <w:rsid w:val="00545414"/>
    <w:rsid w:val="00550681"/>
    <w:rsid w:val="00550D0D"/>
    <w:rsid w:val="00551046"/>
    <w:rsid w:val="00551060"/>
    <w:rsid w:val="00552F73"/>
    <w:rsid w:val="00553D61"/>
    <w:rsid w:val="0055542C"/>
    <w:rsid w:val="00555F30"/>
    <w:rsid w:val="00560C16"/>
    <w:rsid w:val="0056181E"/>
    <w:rsid w:val="005650C6"/>
    <w:rsid w:val="00565C05"/>
    <w:rsid w:val="00565D8A"/>
    <w:rsid w:val="00571616"/>
    <w:rsid w:val="005727AF"/>
    <w:rsid w:val="00573367"/>
    <w:rsid w:val="0057347B"/>
    <w:rsid w:val="0058064F"/>
    <w:rsid w:val="00580D41"/>
    <w:rsid w:val="00586E19"/>
    <w:rsid w:val="005908CA"/>
    <w:rsid w:val="0059331F"/>
    <w:rsid w:val="005956B9"/>
    <w:rsid w:val="00595AF5"/>
    <w:rsid w:val="00595BC3"/>
    <w:rsid w:val="00597D95"/>
    <w:rsid w:val="005A5795"/>
    <w:rsid w:val="005B0B75"/>
    <w:rsid w:val="005B1035"/>
    <w:rsid w:val="005B4FA7"/>
    <w:rsid w:val="005B7F55"/>
    <w:rsid w:val="005C1150"/>
    <w:rsid w:val="005C312E"/>
    <w:rsid w:val="005C4AC7"/>
    <w:rsid w:val="005C52E4"/>
    <w:rsid w:val="005C5AA4"/>
    <w:rsid w:val="005C5E4A"/>
    <w:rsid w:val="005C6894"/>
    <w:rsid w:val="005C6A6A"/>
    <w:rsid w:val="005C6C61"/>
    <w:rsid w:val="005C774E"/>
    <w:rsid w:val="005D326C"/>
    <w:rsid w:val="005D5154"/>
    <w:rsid w:val="005D587E"/>
    <w:rsid w:val="005D6EA6"/>
    <w:rsid w:val="005E31C2"/>
    <w:rsid w:val="005E4D4E"/>
    <w:rsid w:val="005E73C4"/>
    <w:rsid w:val="005F2C67"/>
    <w:rsid w:val="005F4903"/>
    <w:rsid w:val="005F513E"/>
    <w:rsid w:val="005F5577"/>
    <w:rsid w:val="005F6328"/>
    <w:rsid w:val="006050B6"/>
    <w:rsid w:val="00612C6F"/>
    <w:rsid w:val="00616C86"/>
    <w:rsid w:val="00625911"/>
    <w:rsid w:val="0063214B"/>
    <w:rsid w:val="00632792"/>
    <w:rsid w:val="00633F9F"/>
    <w:rsid w:val="0063657D"/>
    <w:rsid w:val="0064198E"/>
    <w:rsid w:val="0064624C"/>
    <w:rsid w:val="00646344"/>
    <w:rsid w:val="00647158"/>
    <w:rsid w:val="006479E0"/>
    <w:rsid w:val="00650999"/>
    <w:rsid w:val="0065187B"/>
    <w:rsid w:val="0065552F"/>
    <w:rsid w:val="00656F23"/>
    <w:rsid w:val="00660089"/>
    <w:rsid w:val="00662797"/>
    <w:rsid w:val="00663DCE"/>
    <w:rsid w:val="00664736"/>
    <w:rsid w:val="00665690"/>
    <w:rsid w:val="0067310A"/>
    <w:rsid w:val="00677EB0"/>
    <w:rsid w:val="006816AA"/>
    <w:rsid w:val="00681BD1"/>
    <w:rsid w:val="00682396"/>
    <w:rsid w:val="006843A7"/>
    <w:rsid w:val="0068521B"/>
    <w:rsid w:val="00686114"/>
    <w:rsid w:val="0068640A"/>
    <w:rsid w:val="00690258"/>
    <w:rsid w:val="006933C6"/>
    <w:rsid w:val="00693F9E"/>
    <w:rsid w:val="00695025"/>
    <w:rsid w:val="006A0DBC"/>
    <w:rsid w:val="006A1013"/>
    <w:rsid w:val="006A4B03"/>
    <w:rsid w:val="006A57EA"/>
    <w:rsid w:val="006A60C8"/>
    <w:rsid w:val="006A6FBA"/>
    <w:rsid w:val="006A7E5E"/>
    <w:rsid w:val="006B1863"/>
    <w:rsid w:val="006B2B7A"/>
    <w:rsid w:val="006B66D0"/>
    <w:rsid w:val="006B7ADC"/>
    <w:rsid w:val="006C2269"/>
    <w:rsid w:val="006C5FB9"/>
    <w:rsid w:val="006C6B44"/>
    <w:rsid w:val="006D0F06"/>
    <w:rsid w:val="006D46E8"/>
    <w:rsid w:val="006D46F5"/>
    <w:rsid w:val="006D5A46"/>
    <w:rsid w:val="006E4710"/>
    <w:rsid w:val="006E631C"/>
    <w:rsid w:val="006E6F66"/>
    <w:rsid w:val="006F0F2E"/>
    <w:rsid w:val="006F6905"/>
    <w:rsid w:val="0070016E"/>
    <w:rsid w:val="00707D4C"/>
    <w:rsid w:val="00710344"/>
    <w:rsid w:val="0071221B"/>
    <w:rsid w:val="007206FE"/>
    <w:rsid w:val="00722DAE"/>
    <w:rsid w:val="00722EE7"/>
    <w:rsid w:val="00724971"/>
    <w:rsid w:val="00724C4B"/>
    <w:rsid w:val="007260D5"/>
    <w:rsid w:val="00726630"/>
    <w:rsid w:val="00727377"/>
    <w:rsid w:val="00732230"/>
    <w:rsid w:val="00732D38"/>
    <w:rsid w:val="00734FC8"/>
    <w:rsid w:val="0073579A"/>
    <w:rsid w:val="0073657E"/>
    <w:rsid w:val="00751D64"/>
    <w:rsid w:val="00752A51"/>
    <w:rsid w:val="00754777"/>
    <w:rsid w:val="0075516B"/>
    <w:rsid w:val="00756EBC"/>
    <w:rsid w:val="00757AA1"/>
    <w:rsid w:val="00761CD6"/>
    <w:rsid w:val="0076306B"/>
    <w:rsid w:val="007707E2"/>
    <w:rsid w:val="00771903"/>
    <w:rsid w:val="00772227"/>
    <w:rsid w:val="007727CB"/>
    <w:rsid w:val="00783100"/>
    <w:rsid w:val="0078363D"/>
    <w:rsid w:val="00783A45"/>
    <w:rsid w:val="00784489"/>
    <w:rsid w:val="00784824"/>
    <w:rsid w:val="00787516"/>
    <w:rsid w:val="00794A03"/>
    <w:rsid w:val="007A2E81"/>
    <w:rsid w:val="007A5221"/>
    <w:rsid w:val="007A6405"/>
    <w:rsid w:val="007A6C42"/>
    <w:rsid w:val="007B0025"/>
    <w:rsid w:val="007B1239"/>
    <w:rsid w:val="007B19FF"/>
    <w:rsid w:val="007B2165"/>
    <w:rsid w:val="007B487B"/>
    <w:rsid w:val="007B4952"/>
    <w:rsid w:val="007B4B27"/>
    <w:rsid w:val="007B7080"/>
    <w:rsid w:val="007B7EE5"/>
    <w:rsid w:val="007C0C4E"/>
    <w:rsid w:val="007C1CFE"/>
    <w:rsid w:val="007C61DC"/>
    <w:rsid w:val="007C6CAE"/>
    <w:rsid w:val="007D2CF3"/>
    <w:rsid w:val="007D5433"/>
    <w:rsid w:val="007D5FCE"/>
    <w:rsid w:val="007D6149"/>
    <w:rsid w:val="007D6339"/>
    <w:rsid w:val="007E0204"/>
    <w:rsid w:val="007E4AA7"/>
    <w:rsid w:val="007E6872"/>
    <w:rsid w:val="007E6F92"/>
    <w:rsid w:val="007F2C1B"/>
    <w:rsid w:val="007F2C84"/>
    <w:rsid w:val="007F6AA1"/>
    <w:rsid w:val="007F7393"/>
    <w:rsid w:val="00800270"/>
    <w:rsid w:val="0080119C"/>
    <w:rsid w:val="00801ECE"/>
    <w:rsid w:val="00804B85"/>
    <w:rsid w:val="00805BD9"/>
    <w:rsid w:val="008128A8"/>
    <w:rsid w:val="0081370C"/>
    <w:rsid w:val="00813BB2"/>
    <w:rsid w:val="0081552D"/>
    <w:rsid w:val="00815B94"/>
    <w:rsid w:val="00816685"/>
    <w:rsid w:val="008239E2"/>
    <w:rsid w:val="00823DCA"/>
    <w:rsid w:val="00824FA1"/>
    <w:rsid w:val="00825111"/>
    <w:rsid w:val="00827BB2"/>
    <w:rsid w:val="00836DC5"/>
    <w:rsid w:val="00837B8A"/>
    <w:rsid w:val="00840626"/>
    <w:rsid w:val="008419EC"/>
    <w:rsid w:val="00841FBF"/>
    <w:rsid w:val="0084221C"/>
    <w:rsid w:val="0084284E"/>
    <w:rsid w:val="00846685"/>
    <w:rsid w:val="00852884"/>
    <w:rsid w:val="008572ED"/>
    <w:rsid w:val="00860347"/>
    <w:rsid w:val="0086359D"/>
    <w:rsid w:val="00863757"/>
    <w:rsid w:val="00866A88"/>
    <w:rsid w:val="00867C8A"/>
    <w:rsid w:val="00867FE5"/>
    <w:rsid w:val="008723EA"/>
    <w:rsid w:val="00873B90"/>
    <w:rsid w:val="008740B0"/>
    <w:rsid w:val="008811B5"/>
    <w:rsid w:val="00882869"/>
    <w:rsid w:val="0088554B"/>
    <w:rsid w:val="00886ABC"/>
    <w:rsid w:val="00887FB9"/>
    <w:rsid w:val="008901EE"/>
    <w:rsid w:val="008929E4"/>
    <w:rsid w:val="00896AFD"/>
    <w:rsid w:val="008A0688"/>
    <w:rsid w:val="008A3554"/>
    <w:rsid w:val="008B20B5"/>
    <w:rsid w:val="008B372F"/>
    <w:rsid w:val="008B6D6A"/>
    <w:rsid w:val="008C0673"/>
    <w:rsid w:val="008C2659"/>
    <w:rsid w:val="008C3550"/>
    <w:rsid w:val="008C7A67"/>
    <w:rsid w:val="008D0AEA"/>
    <w:rsid w:val="008D1810"/>
    <w:rsid w:val="008D210E"/>
    <w:rsid w:val="008D7AAE"/>
    <w:rsid w:val="008F7714"/>
    <w:rsid w:val="00901919"/>
    <w:rsid w:val="009022E3"/>
    <w:rsid w:val="00902FD1"/>
    <w:rsid w:val="009073D4"/>
    <w:rsid w:val="00911749"/>
    <w:rsid w:val="00911B5C"/>
    <w:rsid w:val="00913085"/>
    <w:rsid w:val="0091504D"/>
    <w:rsid w:val="009166D0"/>
    <w:rsid w:val="00916DAB"/>
    <w:rsid w:val="00922083"/>
    <w:rsid w:val="00922794"/>
    <w:rsid w:val="00925A6D"/>
    <w:rsid w:val="00931F16"/>
    <w:rsid w:val="009346E1"/>
    <w:rsid w:val="0093507A"/>
    <w:rsid w:val="00936B9D"/>
    <w:rsid w:val="00940978"/>
    <w:rsid w:val="00942281"/>
    <w:rsid w:val="00950A89"/>
    <w:rsid w:val="0095243C"/>
    <w:rsid w:val="00952DE2"/>
    <w:rsid w:val="009562F3"/>
    <w:rsid w:val="009607A2"/>
    <w:rsid w:val="009607B1"/>
    <w:rsid w:val="00962300"/>
    <w:rsid w:val="00964D3A"/>
    <w:rsid w:val="00965402"/>
    <w:rsid w:val="00967148"/>
    <w:rsid w:val="009703BC"/>
    <w:rsid w:val="00973920"/>
    <w:rsid w:val="00974246"/>
    <w:rsid w:val="0097425A"/>
    <w:rsid w:val="0097488A"/>
    <w:rsid w:val="00977D86"/>
    <w:rsid w:val="009843A9"/>
    <w:rsid w:val="00984DC1"/>
    <w:rsid w:val="00985840"/>
    <w:rsid w:val="00985DF0"/>
    <w:rsid w:val="00985EFE"/>
    <w:rsid w:val="009860BE"/>
    <w:rsid w:val="00992212"/>
    <w:rsid w:val="009927A8"/>
    <w:rsid w:val="009936F4"/>
    <w:rsid w:val="00993DB3"/>
    <w:rsid w:val="009A4C45"/>
    <w:rsid w:val="009A560D"/>
    <w:rsid w:val="009A6ECD"/>
    <w:rsid w:val="009A734E"/>
    <w:rsid w:val="009B0025"/>
    <w:rsid w:val="009B158C"/>
    <w:rsid w:val="009B27BC"/>
    <w:rsid w:val="009B3BCC"/>
    <w:rsid w:val="009B4335"/>
    <w:rsid w:val="009B75AB"/>
    <w:rsid w:val="009C0608"/>
    <w:rsid w:val="009C14E6"/>
    <w:rsid w:val="009C3C67"/>
    <w:rsid w:val="009C610F"/>
    <w:rsid w:val="009C6AA1"/>
    <w:rsid w:val="009D11F4"/>
    <w:rsid w:val="009D2E7F"/>
    <w:rsid w:val="009D4200"/>
    <w:rsid w:val="009D5B40"/>
    <w:rsid w:val="009E10B2"/>
    <w:rsid w:val="009E277A"/>
    <w:rsid w:val="009E6F42"/>
    <w:rsid w:val="009F00D5"/>
    <w:rsid w:val="009F110A"/>
    <w:rsid w:val="009F53C9"/>
    <w:rsid w:val="009F7378"/>
    <w:rsid w:val="00A04A71"/>
    <w:rsid w:val="00A05785"/>
    <w:rsid w:val="00A1076D"/>
    <w:rsid w:val="00A1342B"/>
    <w:rsid w:val="00A13861"/>
    <w:rsid w:val="00A14891"/>
    <w:rsid w:val="00A15448"/>
    <w:rsid w:val="00A20DA0"/>
    <w:rsid w:val="00A247A1"/>
    <w:rsid w:val="00A26ED9"/>
    <w:rsid w:val="00A3045B"/>
    <w:rsid w:val="00A30B4F"/>
    <w:rsid w:val="00A347EE"/>
    <w:rsid w:val="00A37D1F"/>
    <w:rsid w:val="00A42163"/>
    <w:rsid w:val="00A43425"/>
    <w:rsid w:val="00A439E0"/>
    <w:rsid w:val="00A4660B"/>
    <w:rsid w:val="00A560EE"/>
    <w:rsid w:val="00A57E58"/>
    <w:rsid w:val="00A57E85"/>
    <w:rsid w:val="00A57F66"/>
    <w:rsid w:val="00A609E1"/>
    <w:rsid w:val="00A66528"/>
    <w:rsid w:val="00A66B49"/>
    <w:rsid w:val="00A70DD6"/>
    <w:rsid w:val="00A727A5"/>
    <w:rsid w:val="00A74813"/>
    <w:rsid w:val="00A74FA5"/>
    <w:rsid w:val="00A8394D"/>
    <w:rsid w:val="00A8613C"/>
    <w:rsid w:val="00A864A4"/>
    <w:rsid w:val="00A87FA9"/>
    <w:rsid w:val="00A93B73"/>
    <w:rsid w:val="00A958DA"/>
    <w:rsid w:val="00A97E5C"/>
    <w:rsid w:val="00AA5657"/>
    <w:rsid w:val="00AA77FA"/>
    <w:rsid w:val="00AA7C83"/>
    <w:rsid w:val="00AB3C79"/>
    <w:rsid w:val="00AB4EC8"/>
    <w:rsid w:val="00AB761D"/>
    <w:rsid w:val="00AC3DCA"/>
    <w:rsid w:val="00AC3FB1"/>
    <w:rsid w:val="00AC4C8A"/>
    <w:rsid w:val="00AC5BEE"/>
    <w:rsid w:val="00AD24B4"/>
    <w:rsid w:val="00AD25BD"/>
    <w:rsid w:val="00AD43DD"/>
    <w:rsid w:val="00AE038A"/>
    <w:rsid w:val="00AE0906"/>
    <w:rsid w:val="00AE257B"/>
    <w:rsid w:val="00AE29BB"/>
    <w:rsid w:val="00AE38E8"/>
    <w:rsid w:val="00AE5588"/>
    <w:rsid w:val="00AE69E9"/>
    <w:rsid w:val="00AE785C"/>
    <w:rsid w:val="00AE7B52"/>
    <w:rsid w:val="00AF1861"/>
    <w:rsid w:val="00AF29C9"/>
    <w:rsid w:val="00AF426E"/>
    <w:rsid w:val="00AF4939"/>
    <w:rsid w:val="00AF59FF"/>
    <w:rsid w:val="00AF6E92"/>
    <w:rsid w:val="00B0199E"/>
    <w:rsid w:val="00B1169B"/>
    <w:rsid w:val="00B12C7A"/>
    <w:rsid w:val="00B135DC"/>
    <w:rsid w:val="00B13EB0"/>
    <w:rsid w:val="00B156D1"/>
    <w:rsid w:val="00B15959"/>
    <w:rsid w:val="00B221A9"/>
    <w:rsid w:val="00B22510"/>
    <w:rsid w:val="00B23537"/>
    <w:rsid w:val="00B239A2"/>
    <w:rsid w:val="00B26DDD"/>
    <w:rsid w:val="00B32707"/>
    <w:rsid w:val="00B32E6B"/>
    <w:rsid w:val="00B33F61"/>
    <w:rsid w:val="00B35553"/>
    <w:rsid w:val="00B37344"/>
    <w:rsid w:val="00B42FD6"/>
    <w:rsid w:val="00B4745A"/>
    <w:rsid w:val="00B47CA0"/>
    <w:rsid w:val="00B47E34"/>
    <w:rsid w:val="00B500C3"/>
    <w:rsid w:val="00B53F2F"/>
    <w:rsid w:val="00B55423"/>
    <w:rsid w:val="00B5569C"/>
    <w:rsid w:val="00B560A6"/>
    <w:rsid w:val="00B6038F"/>
    <w:rsid w:val="00B60836"/>
    <w:rsid w:val="00B60C3A"/>
    <w:rsid w:val="00B63152"/>
    <w:rsid w:val="00B63F15"/>
    <w:rsid w:val="00B63FFA"/>
    <w:rsid w:val="00B64FEB"/>
    <w:rsid w:val="00B70835"/>
    <w:rsid w:val="00B752A3"/>
    <w:rsid w:val="00B768D8"/>
    <w:rsid w:val="00B811EF"/>
    <w:rsid w:val="00B83610"/>
    <w:rsid w:val="00B84698"/>
    <w:rsid w:val="00B87E48"/>
    <w:rsid w:val="00B90C7A"/>
    <w:rsid w:val="00B91135"/>
    <w:rsid w:val="00B920E7"/>
    <w:rsid w:val="00B93629"/>
    <w:rsid w:val="00B93681"/>
    <w:rsid w:val="00B96B34"/>
    <w:rsid w:val="00BA5DBA"/>
    <w:rsid w:val="00BB16D9"/>
    <w:rsid w:val="00BB2E21"/>
    <w:rsid w:val="00BB3067"/>
    <w:rsid w:val="00BB612E"/>
    <w:rsid w:val="00BC154C"/>
    <w:rsid w:val="00BC4FA5"/>
    <w:rsid w:val="00BC5581"/>
    <w:rsid w:val="00BC5F09"/>
    <w:rsid w:val="00BC7356"/>
    <w:rsid w:val="00BD0F2E"/>
    <w:rsid w:val="00BD1997"/>
    <w:rsid w:val="00BD3F19"/>
    <w:rsid w:val="00BD7A30"/>
    <w:rsid w:val="00BE3A8E"/>
    <w:rsid w:val="00BE46B7"/>
    <w:rsid w:val="00BE7EC9"/>
    <w:rsid w:val="00BF0329"/>
    <w:rsid w:val="00BF24AB"/>
    <w:rsid w:val="00C01869"/>
    <w:rsid w:val="00C0228C"/>
    <w:rsid w:val="00C04F64"/>
    <w:rsid w:val="00C05BA7"/>
    <w:rsid w:val="00C064CC"/>
    <w:rsid w:val="00C07844"/>
    <w:rsid w:val="00C15A7A"/>
    <w:rsid w:val="00C16F44"/>
    <w:rsid w:val="00C21215"/>
    <w:rsid w:val="00C21A0A"/>
    <w:rsid w:val="00C21CB1"/>
    <w:rsid w:val="00C255ED"/>
    <w:rsid w:val="00C26ECD"/>
    <w:rsid w:val="00C301EF"/>
    <w:rsid w:val="00C3256A"/>
    <w:rsid w:val="00C333EF"/>
    <w:rsid w:val="00C33D00"/>
    <w:rsid w:val="00C34D4B"/>
    <w:rsid w:val="00C437A3"/>
    <w:rsid w:val="00C45252"/>
    <w:rsid w:val="00C46A0B"/>
    <w:rsid w:val="00C474C1"/>
    <w:rsid w:val="00C51C65"/>
    <w:rsid w:val="00C5415B"/>
    <w:rsid w:val="00C54EE1"/>
    <w:rsid w:val="00C57B75"/>
    <w:rsid w:val="00C57FA4"/>
    <w:rsid w:val="00C60DE4"/>
    <w:rsid w:val="00C619C1"/>
    <w:rsid w:val="00C6519A"/>
    <w:rsid w:val="00C73216"/>
    <w:rsid w:val="00C74BD9"/>
    <w:rsid w:val="00C75BF4"/>
    <w:rsid w:val="00C765FF"/>
    <w:rsid w:val="00C8153F"/>
    <w:rsid w:val="00C84CFF"/>
    <w:rsid w:val="00C9205F"/>
    <w:rsid w:val="00C93ED6"/>
    <w:rsid w:val="00C94FBA"/>
    <w:rsid w:val="00C96081"/>
    <w:rsid w:val="00CA1D75"/>
    <w:rsid w:val="00CA2FD7"/>
    <w:rsid w:val="00CA53DA"/>
    <w:rsid w:val="00CA7105"/>
    <w:rsid w:val="00CB05B6"/>
    <w:rsid w:val="00CB0D07"/>
    <w:rsid w:val="00CB101C"/>
    <w:rsid w:val="00CB1F96"/>
    <w:rsid w:val="00CB20ED"/>
    <w:rsid w:val="00CB3B4E"/>
    <w:rsid w:val="00CB3DEC"/>
    <w:rsid w:val="00CB5453"/>
    <w:rsid w:val="00CB7657"/>
    <w:rsid w:val="00CC0281"/>
    <w:rsid w:val="00CC0B67"/>
    <w:rsid w:val="00CC11C8"/>
    <w:rsid w:val="00CC2DF2"/>
    <w:rsid w:val="00CC3582"/>
    <w:rsid w:val="00CC3AE2"/>
    <w:rsid w:val="00CC4568"/>
    <w:rsid w:val="00CC5E6B"/>
    <w:rsid w:val="00CC5F45"/>
    <w:rsid w:val="00CC635A"/>
    <w:rsid w:val="00CC7F4D"/>
    <w:rsid w:val="00CD1504"/>
    <w:rsid w:val="00CD3654"/>
    <w:rsid w:val="00CD3789"/>
    <w:rsid w:val="00CD3BDC"/>
    <w:rsid w:val="00CD4B94"/>
    <w:rsid w:val="00CD713D"/>
    <w:rsid w:val="00CD7429"/>
    <w:rsid w:val="00CD7743"/>
    <w:rsid w:val="00CD7A11"/>
    <w:rsid w:val="00CE3551"/>
    <w:rsid w:val="00CE6448"/>
    <w:rsid w:val="00CE6D8C"/>
    <w:rsid w:val="00CF1C0B"/>
    <w:rsid w:val="00CF6106"/>
    <w:rsid w:val="00CF739D"/>
    <w:rsid w:val="00CF7D24"/>
    <w:rsid w:val="00D04841"/>
    <w:rsid w:val="00D05305"/>
    <w:rsid w:val="00D05E85"/>
    <w:rsid w:val="00D062A6"/>
    <w:rsid w:val="00D13649"/>
    <w:rsid w:val="00D15EB9"/>
    <w:rsid w:val="00D177C4"/>
    <w:rsid w:val="00D20C32"/>
    <w:rsid w:val="00D22B4C"/>
    <w:rsid w:val="00D232CA"/>
    <w:rsid w:val="00D2778D"/>
    <w:rsid w:val="00D311E1"/>
    <w:rsid w:val="00D31624"/>
    <w:rsid w:val="00D32712"/>
    <w:rsid w:val="00D33338"/>
    <w:rsid w:val="00D35768"/>
    <w:rsid w:val="00D36599"/>
    <w:rsid w:val="00D40521"/>
    <w:rsid w:val="00D4291A"/>
    <w:rsid w:val="00D4436D"/>
    <w:rsid w:val="00D451BB"/>
    <w:rsid w:val="00D45D6B"/>
    <w:rsid w:val="00D4738E"/>
    <w:rsid w:val="00D477C5"/>
    <w:rsid w:val="00D47BD5"/>
    <w:rsid w:val="00D5016F"/>
    <w:rsid w:val="00D50812"/>
    <w:rsid w:val="00D5189E"/>
    <w:rsid w:val="00D518E5"/>
    <w:rsid w:val="00D51D1D"/>
    <w:rsid w:val="00D54CDC"/>
    <w:rsid w:val="00D552ED"/>
    <w:rsid w:val="00D63DF1"/>
    <w:rsid w:val="00D64765"/>
    <w:rsid w:val="00D701E2"/>
    <w:rsid w:val="00D8002C"/>
    <w:rsid w:val="00D82AED"/>
    <w:rsid w:val="00D83954"/>
    <w:rsid w:val="00D94988"/>
    <w:rsid w:val="00DA0877"/>
    <w:rsid w:val="00DA2708"/>
    <w:rsid w:val="00DA275B"/>
    <w:rsid w:val="00DA38EE"/>
    <w:rsid w:val="00DA7E23"/>
    <w:rsid w:val="00DB3192"/>
    <w:rsid w:val="00DB43E7"/>
    <w:rsid w:val="00DC06DF"/>
    <w:rsid w:val="00DC262B"/>
    <w:rsid w:val="00DC5213"/>
    <w:rsid w:val="00DC7067"/>
    <w:rsid w:val="00DC71BD"/>
    <w:rsid w:val="00DC7842"/>
    <w:rsid w:val="00DD0109"/>
    <w:rsid w:val="00DD3D2C"/>
    <w:rsid w:val="00DD4694"/>
    <w:rsid w:val="00DD61DD"/>
    <w:rsid w:val="00DE0BB9"/>
    <w:rsid w:val="00DE28D0"/>
    <w:rsid w:val="00DE3C05"/>
    <w:rsid w:val="00DE6788"/>
    <w:rsid w:val="00DF0976"/>
    <w:rsid w:val="00DF2361"/>
    <w:rsid w:val="00DF3118"/>
    <w:rsid w:val="00DF3D5F"/>
    <w:rsid w:val="00DF43FA"/>
    <w:rsid w:val="00DF4616"/>
    <w:rsid w:val="00DF7992"/>
    <w:rsid w:val="00E0040A"/>
    <w:rsid w:val="00E03897"/>
    <w:rsid w:val="00E03AB5"/>
    <w:rsid w:val="00E04ABE"/>
    <w:rsid w:val="00E0555B"/>
    <w:rsid w:val="00E05AAB"/>
    <w:rsid w:val="00E07A9B"/>
    <w:rsid w:val="00E10368"/>
    <w:rsid w:val="00E111D2"/>
    <w:rsid w:val="00E11692"/>
    <w:rsid w:val="00E12EA6"/>
    <w:rsid w:val="00E13A01"/>
    <w:rsid w:val="00E14AFD"/>
    <w:rsid w:val="00E1518B"/>
    <w:rsid w:val="00E1750C"/>
    <w:rsid w:val="00E222C0"/>
    <w:rsid w:val="00E24454"/>
    <w:rsid w:val="00E2744A"/>
    <w:rsid w:val="00E27A63"/>
    <w:rsid w:val="00E328DF"/>
    <w:rsid w:val="00E349B2"/>
    <w:rsid w:val="00E453C4"/>
    <w:rsid w:val="00E46932"/>
    <w:rsid w:val="00E471A3"/>
    <w:rsid w:val="00E50B2F"/>
    <w:rsid w:val="00E5476D"/>
    <w:rsid w:val="00E557DF"/>
    <w:rsid w:val="00E56265"/>
    <w:rsid w:val="00E60111"/>
    <w:rsid w:val="00E60918"/>
    <w:rsid w:val="00E61795"/>
    <w:rsid w:val="00E629F6"/>
    <w:rsid w:val="00E71412"/>
    <w:rsid w:val="00E71694"/>
    <w:rsid w:val="00E72A13"/>
    <w:rsid w:val="00E7307D"/>
    <w:rsid w:val="00E75386"/>
    <w:rsid w:val="00E81899"/>
    <w:rsid w:val="00E824AE"/>
    <w:rsid w:val="00E82DAA"/>
    <w:rsid w:val="00E846B1"/>
    <w:rsid w:val="00E871C6"/>
    <w:rsid w:val="00E917D6"/>
    <w:rsid w:val="00E91FEF"/>
    <w:rsid w:val="00E92661"/>
    <w:rsid w:val="00E94657"/>
    <w:rsid w:val="00E950B8"/>
    <w:rsid w:val="00E9572D"/>
    <w:rsid w:val="00E95B80"/>
    <w:rsid w:val="00E95CC3"/>
    <w:rsid w:val="00E961E0"/>
    <w:rsid w:val="00E967D8"/>
    <w:rsid w:val="00E97255"/>
    <w:rsid w:val="00EA06B8"/>
    <w:rsid w:val="00EA08DC"/>
    <w:rsid w:val="00EA0CCA"/>
    <w:rsid w:val="00EA1293"/>
    <w:rsid w:val="00EA5A41"/>
    <w:rsid w:val="00EB5A9B"/>
    <w:rsid w:val="00EC037B"/>
    <w:rsid w:val="00EC331D"/>
    <w:rsid w:val="00EC3CD7"/>
    <w:rsid w:val="00EC7830"/>
    <w:rsid w:val="00EC7877"/>
    <w:rsid w:val="00ED0FB9"/>
    <w:rsid w:val="00ED141C"/>
    <w:rsid w:val="00ED161A"/>
    <w:rsid w:val="00ED288C"/>
    <w:rsid w:val="00ED6CA2"/>
    <w:rsid w:val="00EE1A85"/>
    <w:rsid w:val="00EE1B53"/>
    <w:rsid w:val="00EE49B4"/>
    <w:rsid w:val="00EF0D68"/>
    <w:rsid w:val="00EF19A4"/>
    <w:rsid w:val="00EF4E76"/>
    <w:rsid w:val="00F06719"/>
    <w:rsid w:val="00F10E61"/>
    <w:rsid w:val="00F11DD0"/>
    <w:rsid w:val="00F12E84"/>
    <w:rsid w:val="00F1358A"/>
    <w:rsid w:val="00F1562F"/>
    <w:rsid w:val="00F206D0"/>
    <w:rsid w:val="00F2076E"/>
    <w:rsid w:val="00F20A83"/>
    <w:rsid w:val="00F23EED"/>
    <w:rsid w:val="00F247A5"/>
    <w:rsid w:val="00F24C3D"/>
    <w:rsid w:val="00F2707B"/>
    <w:rsid w:val="00F302D4"/>
    <w:rsid w:val="00F36981"/>
    <w:rsid w:val="00F37C30"/>
    <w:rsid w:val="00F40740"/>
    <w:rsid w:val="00F40C61"/>
    <w:rsid w:val="00F4506F"/>
    <w:rsid w:val="00F474FD"/>
    <w:rsid w:val="00F53C05"/>
    <w:rsid w:val="00F55B1A"/>
    <w:rsid w:val="00F5640F"/>
    <w:rsid w:val="00F6057C"/>
    <w:rsid w:val="00F617C2"/>
    <w:rsid w:val="00F63914"/>
    <w:rsid w:val="00F63C6D"/>
    <w:rsid w:val="00F64F40"/>
    <w:rsid w:val="00F67052"/>
    <w:rsid w:val="00F705F4"/>
    <w:rsid w:val="00F70B9D"/>
    <w:rsid w:val="00F7248E"/>
    <w:rsid w:val="00F731FA"/>
    <w:rsid w:val="00F7323B"/>
    <w:rsid w:val="00F749E1"/>
    <w:rsid w:val="00F77F15"/>
    <w:rsid w:val="00F81609"/>
    <w:rsid w:val="00F8281F"/>
    <w:rsid w:val="00F83BC8"/>
    <w:rsid w:val="00F84A18"/>
    <w:rsid w:val="00F94C08"/>
    <w:rsid w:val="00F96CED"/>
    <w:rsid w:val="00FA0437"/>
    <w:rsid w:val="00FA1EC7"/>
    <w:rsid w:val="00FA24D3"/>
    <w:rsid w:val="00FA3809"/>
    <w:rsid w:val="00FB1EB7"/>
    <w:rsid w:val="00FB3751"/>
    <w:rsid w:val="00FB465B"/>
    <w:rsid w:val="00FB6EED"/>
    <w:rsid w:val="00FC0CBB"/>
    <w:rsid w:val="00FC32FC"/>
    <w:rsid w:val="00FC4C1B"/>
    <w:rsid w:val="00FC61DC"/>
    <w:rsid w:val="00FC63D8"/>
    <w:rsid w:val="00FC6651"/>
    <w:rsid w:val="00FD03D4"/>
    <w:rsid w:val="00FD3899"/>
    <w:rsid w:val="00FD484D"/>
    <w:rsid w:val="00FD68C3"/>
    <w:rsid w:val="00FE22CA"/>
    <w:rsid w:val="00FE6E96"/>
    <w:rsid w:val="00FF3F62"/>
    <w:rsid w:val="00FF6167"/>
    <w:rsid w:val="00FF7233"/>
    <w:rsid w:val="00F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A44AA-B086-4045-A4E5-A0776026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 text"/>
    <w:basedOn w:val="Normal"/>
    <w:link w:val="CAptiontextChar"/>
    <w:qFormat/>
    <w:rsid w:val="00787516"/>
    <w:pPr>
      <w:keepNext/>
      <w:spacing w:line="276" w:lineRule="auto"/>
    </w:pPr>
    <w:rPr>
      <w:color w:val="5B9BD5" w:themeColor="accent1"/>
      <w:sz w:val="18"/>
      <w:szCs w:val="18"/>
    </w:rPr>
  </w:style>
  <w:style w:type="character" w:customStyle="1" w:styleId="CAptiontextChar">
    <w:name w:val="CAption text Char"/>
    <w:basedOn w:val="DefaultParagraphFont"/>
    <w:link w:val="CAptiontext"/>
    <w:rsid w:val="00787516"/>
    <w:rPr>
      <w:color w:val="5B9BD5" w:themeColor="accent1"/>
      <w:sz w:val="18"/>
      <w:szCs w:val="18"/>
    </w:rPr>
  </w:style>
  <w:style w:type="paragraph" w:styleId="Caption">
    <w:name w:val="caption"/>
    <w:basedOn w:val="Normal"/>
    <w:next w:val="Normal"/>
    <w:uiPriority w:val="35"/>
    <w:semiHidden/>
    <w:unhideWhenUsed/>
    <w:qFormat/>
    <w:rsid w:val="0078751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7708</Words>
  <Characters>43941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Jan Werth</cp:lastModifiedBy>
  <cp:revision>4</cp:revision>
  <dcterms:created xsi:type="dcterms:W3CDTF">2017-05-18T21:02:00Z</dcterms:created>
  <dcterms:modified xsi:type="dcterms:W3CDTF">2017-05-22T10:23:00Z</dcterms:modified>
</cp:coreProperties>
</file>